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heme="majorEastAsia" w:hAnsiTheme="majorEastAsia" w:eastAsiaTheme="majorEastAsia" w:cstheme="majorEastAsia"/>
          <w:b/>
          <w:bCs/>
          <w:i w:val="0"/>
          <w:iCs w:val="0"/>
          <w:caps w:val="0"/>
          <w:color w:val="222222"/>
          <w:spacing w:val="0"/>
          <w:kern w:val="0"/>
          <w:sz w:val="44"/>
          <w:szCs w:val="44"/>
          <w:shd w:val="clear" w:fill="FFFFFF"/>
          <w:lang w:val="en-US" w:eastAsia="zh-CN" w:bidi="ar"/>
        </w:rPr>
      </w:pPr>
      <w:r>
        <w:rPr>
          <w:rFonts w:hint="eastAsia" w:asciiTheme="majorEastAsia" w:hAnsiTheme="majorEastAsia" w:eastAsiaTheme="majorEastAsia" w:cstheme="majorEastAsia"/>
          <w:b/>
          <w:bCs/>
          <w:i w:val="0"/>
          <w:iCs w:val="0"/>
          <w:caps w:val="0"/>
          <w:color w:val="222222"/>
          <w:spacing w:val="0"/>
          <w:kern w:val="0"/>
          <w:sz w:val="44"/>
          <w:szCs w:val="44"/>
          <w:shd w:val="clear" w:fill="FFFFFF"/>
          <w:lang w:val="en-US" w:eastAsia="zh-CN" w:bidi="ar"/>
        </w:rPr>
        <w:t>《麻山区重点企业“服务绿卡”实施方案》</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Autospacing="0" w:line="560" w:lineRule="exact"/>
        <w:ind w:right="0" w:rightChars="0" w:firstLine="640" w:firstLineChars="200"/>
        <w:textAlignment w:val="auto"/>
        <w:rPr>
          <w:rFonts w:hint="eastAsia" w:ascii="黑体" w:hAnsi="黑体" w:eastAsia="黑体" w:cs="黑体"/>
          <w:i w:val="0"/>
          <w:iCs w:val="0"/>
          <w:caps w:val="0"/>
          <w:color w:val="222222"/>
          <w:spacing w:val="0"/>
          <w:kern w:val="0"/>
          <w:sz w:val="32"/>
          <w:szCs w:val="32"/>
          <w:shd w:val="clear" w:fill="FFFFFF"/>
          <w:lang w:val="en-US" w:eastAsia="zh-CN" w:bidi="ar"/>
        </w:rPr>
      </w:pP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Autospacing="0" w:line="560" w:lineRule="exact"/>
        <w:ind w:right="0" w:rightChars="0" w:firstLine="640" w:firstLineChars="200"/>
        <w:textAlignment w:val="auto"/>
        <w:rPr>
          <w:rFonts w:hint="eastAsia" w:ascii="黑体" w:hAnsi="黑体" w:eastAsia="黑体" w:cs="黑体"/>
          <w:i w:val="0"/>
          <w:iCs w:val="0"/>
          <w:caps w:val="0"/>
          <w:color w:val="222222"/>
          <w:spacing w:val="0"/>
          <w:kern w:val="0"/>
          <w:sz w:val="32"/>
          <w:szCs w:val="32"/>
          <w:shd w:val="clear" w:fill="FFFFFF"/>
          <w:lang w:val="en-US" w:eastAsia="zh-CN" w:bidi="ar"/>
        </w:rPr>
      </w:pPr>
      <w:r>
        <w:rPr>
          <w:rFonts w:hint="eastAsia" w:ascii="黑体" w:hAnsi="黑体" w:eastAsia="黑体" w:cs="黑体"/>
          <w:i w:val="0"/>
          <w:iCs w:val="0"/>
          <w:caps w:val="0"/>
          <w:color w:val="222222"/>
          <w:spacing w:val="0"/>
          <w:kern w:val="0"/>
          <w:sz w:val="32"/>
          <w:szCs w:val="32"/>
          <w:shd w:val="clear" w:fill="FFFFFF"/>
          <w:lang w:val="en-US" w:eastAsia="zh-CN" w:bidi="ar"/>
        </w:rPr>
        <w:t>一、背景和意义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为进一步推动简政放权、放管结合、优化服务，打造优质高效的政务环境，加快构建新型政商关系，促进重点</w:t>
      </w:r>
      <w:r>
        <w:rPr>
          <w:rFonts w:hint="eastAsia" w:ascii="仿宋_GB2312" w:hAnsi="Times New Roman" w:eastAsia="仿宋_GB2312" w:cs="仿宋_GB2312"/>
          <w:kern w:val="0"/>
          <w:sz w:val="32"/>
          <w:szCs w:val="32"/>
          <w:lang w:val="en-US" w:eastAsia="zh-CN" w:bidi="ar"/>
        </w:rPr>
        <w:t>企业发展</w:t>
      </w:r>
      <w:r>
        <w:rPr>
          <w:rFonts w:hint="default" w:ascii="仿宋_GB2312" w:hAnsi="Times New Roman" w:eastAsia="仿宋_GB2312" w:cs="仿宋_GB2312"/>
          <w:kern w:val="0"/>
          <w:sz w:val="32"/>
          <w:szCs w:val="32"/>
          <w:lang w:val="en-US" w:eastAsia="zh-CN" w:bidi="ar"/>
        </w:rPr>
        <w:t>，加快推进新型工业化、建设现代化产业体系，</w:t>
      </w:r>
      <w:r>
        <w:rPr>
          <w:rFonts w:hint="eastAsia" w:ascii="仿宋_GB2312" w:hAnsi="Times New Roman" w:eastAsia="仿宋_GB2312" w:cs="仿宋_GB2312"/>
          <w:kern w:val="0"/>
          <w:sz w:val="32"/>
          <w:szCs w:val="32"/>
          <w:lang w:val="en-US" w:eastAsia="zh-CN" w:bidi="ar"/>
        </w:rPr>
        <w:t>延长企业生命周期，</w:t>
      </w:r>
      <w:r>
        <w:rPr>
          <w:rFonts w:hint="default" w:ascii="仿宋_GB2312" w:hAnsi="Times New Roman" w:eastAsia="仿宋_GB2312" w:cs="仿宋_GB2312"/>
          <w:kern w:val="0"/>
          <w:sz w:val="32"/>
          <w:szCs w:val="32"/>
          <w:lang w:val="en-US" w:eastAsia="zh-CN" w:bidi="ar"/>
        </w:rPr>
        <w:t>推动我</w:t>
      </w:r>
      <w:r>
        <w:rPr>
          <w:rFonts w:hint="eastAsia" w:ascii="仿宋_GB2312" w:hAnsi="Times New Roman" w:eastAsia="仿宋_GB2312" w:cs="仿宋_GB2312"/>
          <w:kern w:val="0"/>
          <w:sz w:val="32"/>
          <w:szCs w:val="32"/>
          <w:lang w:val="en-US" w:eastAsia="zh-CN" w:bidi="ar"/>
        </w:rPr>
        <w:t>区</w:t>
      </w:r>
      <w:r>
        <w:rPr>
          <w:rFonts w:hint="default" w:ascii="仿宋_GB2312" w:hAnsi="Times New Roman" w:eastAsia="仿宋_GB2312" w:cs="仿宋_GB2312"/>
          <w:kern w:val="0"/>
          <w:sz w:val="32"/>
          <w:szCs w:val="32"/>
          <w:lang w:val="en-US" w:eastAsia="zh-CN" w:bidi="ar"/>
        </w:rPr>
        <w:t>经济社会高质量发展，特制定本</w:t>
      </w:r>
      <w:r>
        <w:rPr>
          <w:rFonts w:hint="eastAsia" w:ascii="仿宋_GB2312" w:hAnsi="Times New Roman" w:eastAsia="仿宋_GB2312" w:cs="仿宋_GB2312"/>
          <w:kern w:val="0"/>
          <w:sz w:val="32"/>
          <w:szCs w:val="32"/>
          <w:lang w:val="en-US" w:eastAsia="zh-CN" w:bidi="ar"/>
        </w:rPr>
        <w:t>方案</w:t>
      </w:r>
      <w:r>
        <w:rPr>
          <w:rFonts w:hint="default" w:ascii="仿宋_GB2312" w:hAnsi="Times New Roman" w:eastAsia="仿宋_GB2312" w:cs="仿宋_GB2312"/>
          <w:kern w:val="0"/>
          <w:sz w:val="32"/>
          <w:szCs w:val="32"/>
          <w:lang w:val="en-US" w:eastAsia="zh-CN" w:bidi="ar"/>
        </w:rPr>
        <w:t>。本</w:t>
      </w:r>
      <w:r>
        <w:rPr>
          <w:rFonts w:hint="eastAsia" w:ascii="仿宋_GB2312" w:hAnsi="Times New Roman" w:eastAsia="仿宋_GB2312" w:cs="仿宋_GB2312"/>
          <w:kern w:val="0"/>
          <w:sz w:val="32"/>
          <w:szCs w:val="32"/>
          <w:lang w:val="en-US" w:eastAsia="zh-CN" w:bidi="ar"/>
        </w:rPr>
        <w:t>方案</w:t>
      </w:r>
      <w:r>
        <w:rPr>
          <w:rFonts w:hint="default" w:ascii="仿宋_GB2312" w:hAnsi="Times New Roman" w:eastAsia="仿宋_GB2312" w:cs="仿宋_GB2312"/>
          <w:kern w:val="0"/>
          <w:sz w:val="32"/>
          <w:szCs w:val="32"/>
          <w:lang w:val="en-US" w:eastAsia="zh-CN" w:bidi="ar"/>
        </w:rPr>
        <w:t>所称“服务绿卡”是指对我</w:t>
      </w:r>
      <w:r>
        <w:rPr>
          <w:rFonts w:hint="eastAsia" w:ascii="仿宋_GB2312" w:hAnsi="Times New Roman" w:eastAsia="仿宋_GB2312" w:cs="仿宋_GB2312"/>
          <w:kern w:val="0"/>
          <w:sz w:val="32"/>
          <w:szCs w:val="32"/>
          <w:lang w:val="en-US" w:eastAsia="zh-CN" w:bidi="ar"/>
        </w:rPr>
        <w:t>区</w:t>
      </w:r>
      <w:r>
        <w:rPr>
          <w:rFonts w:hint="default" w:ascii="仿宋_GB2312" w:hAnsi="Times New Roman" w:eastAsia="仿宋_GB2312" w:cs="仿宋_GB2312"/>
          <w:kern w:val="0"/>
          <w:sz w:val="32"/>
          <w:szCs w:val="32"/>
          <w:lang w:val="en-US" w:eastAsia="zh-CN" w:bidi="ar"/>
        </w:rPr>
        <w:t>范围内重点企业（重大项目）发放“绿色通行证”（以下简称“绿卡”），为持有该证的企业在行政审批、便利服务、政策优待、资源配置等事项上提供服务，确保企业真正获得实惠，助推重点企业做强做优，带动全</w:t>
      </w:r>
      <w:r>
        <w:rPr>
          <w:rFonts w:hint="eastAsia" w:ascii="仿宋_GB2312" w:hAnsi="Times New Roman" w:eastAsia="仿宋_GB2312" w:cs="仿宋_GB2312"/>
          <w:kern w:val="0"/>
          <w:sz w:val="32"/>
          <w:szCs w:val="32"/>
          <w:lang w:val="en-US" w:eastAsia="zh-CN" w:bidi="ar"/>
        </w:rPr>
        <w:t>区</w:t>
      </w:r>
      <w:r>
        <w:rPr>
          <w:rFonts w:hint="default" w:ascii="仿宋_GB2312" w:hAnsi="Times New Roman" w:eastAsia="仿宋_GB2312" w:cs="仿宋_GB2312"/>
          <w:kern w:val="0"/>
          <w:sz w:val="32"/>
          <w:szCs w:val="32"/>
          <w:lang w:val="en-US" w:eastAsia="zh-CN" w:bidi="ar"/>
        </w:rPr>
        <w:t>整体政务服务水平新提升。</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Autospacing="0" w:line="560" w:lineRule="exact"/>
        <w:ind w:right="0" w:rightChars="0" w:firstLine="640" w:firstLineChars="200"/>
        <w:textAlignment w:val="auto"/>
        <w:rPr>
          <w:rFonts w:hint="eastAsia" w:ascii="仿宋_GB2312" w:hAnsi="Times New Roman" w:eastAsia="仿宋_GB2312" w:cs="仿宋_GB2312"/>
          <w:kern w:val="0"/>
          <w:sz w:val="32"/>
          <w:szCs w:val="32"/>
          <w:lang w:val="en-US" w:eastAsia="zh-CN" w:bidi="ar"/>
        </w:rPr>
      </w:pPr>
      <w:r>
        <w:rPr>
          <w:rFonts w:hint="eastAsia" w:ascii="黑体" w:hAnsi="黑体" w:eastAsia="黑体" w:cs="黑体"/>
          <w:i w:val="0"/>
          <w:iCs w:val="0"/>
          <w:caps w:val="0"/>
          <w:color w:val="222222"/>
          <w:spacing w:val="0"/>
          <w:kern w:val="0"/>
          <w:sz w:val="32"/>
          <w:szCs w:val="32"/>
          <w:shd w:val="clear" w:fill="FFFFFF"/>
          <w:lang w:val="en-US" w:eastAsia="zh-CN" w:bidi="ar"/>
        </w:rPr>
        <w:t>二、“服务绿卡”发放标准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凡</w:t>
      </w:r>
      <w:r>
        <w:rPr>
          <w:rFonts w:hint="default" w:ascii="仿宋_GB2312" w:hAnsi="Times New Roman" w:eastAsia="仿宋_GB2312" w:cs="仿宋_GB2312"/>
          <w:kern w:val="0"/>
          <w:sz w:val="32"/>
          <w:szCs w:val="32"/>
          <w:lang w:val="en-US" w:eastAsia="zh-CN" w:bidi="ar"/>
        </w:rPr>
        <w:t>在本</w:t>
      </w:r>
      <w:r>
        <w:rPr>
          <w:rFonts w:hint="eastAsia" w:ascii="仿宋_GB2312" w:hAnsi="Times New Roman" w:eastAsia="仿宋_GB2312" w:cs="仿宋_GB2312"/>
          <w:kern w:val="0"/>
          <w:sz w:val="32"/>
          <w:szCs w:val="32"/>
          <w:lang w:val="en-US" w:eastAsia="zh-CN" w:bidi="ar"/>
        </w:rPr>
        <w:t>区</w:t>
      </w:r>
      <w:r>
        <w:rPr>
          <w:rFonts w:hint="default" w:ascii="仿宋_GB2312" w:hAnsi="Times New Roman" w:eastAsia="仿宋_GB2312" w:cs="仿宋_GB2312"/>
          <w:kern w:val="0"/>
          <w:sz w:val="32"/>
          <w:szCs w:val="32"/>
          <w:lang w:val="en-US" w:eastAsia="zh-CN" w:bidi="ar"/>
        </w:rPr>
        <w:t>注册</w:t>
      </w:r>
      <w:r>
        <w:rPr>
          <w:rFonts w:hint="eastAsia" w:ascii="仿宋_GB2312" w:hAnsi="Times New Roman" w:eastAsia="仿宋_GB2312" w:cs="仿宋_GB2312"/>
          <w:kern w:val="0"/>
          <w:sz w:val="32"/>
          <w:szCs w:val="32"/>
          <w:lang w:val="en-US" w:eastAsia="zh-CN" w:bidi="ar"/>
        </w:rPr>
        <w:t>登记</w:t>
      </w:r>
      <w:r>
        <w:rPr>
          <w:rFonts w:hint="default" w:ascii="仿宋_GB2312" w:hAnsi="Times New Roman" w:eastAsia="仿宋_GB2312" w:cs="仿宋_GB2312"/>
          <w:kern w:val="0"/>
          <w:sz w:val="32"/>
          <w:szCs w:val="32"/>
          <w:lang w:val="en-US" w:eastAsia="zh-CN" w:bidi="ar"/>
        </w:rPr>
        <w:t>并依法纳税、诚信经营的企业，符合下列条件的，经</w:t>
      </w:r>
      <w:r>
        <w:rPr>
          <w:rFonts w:hint="eastAsia" w:ascii="仿宋_GB2312" w:hAnsi="Times New Roman" w:eastAsia="仿宋_GB2312" w:cs="仿宋_GB2312"/>
          <w:kern w:val="0"/>
          <w:sz w:val="32"/>
          <w:szCs w:val="32"/>
          <w:lang w:val="en-US" w:eastAsia="zh-CN" w:bidi="ar"/>
        </w:rPr>
        <w:t>区工业信息科技局、区发展和改革局、区市场监督管理局举荐，合议审批后，</w:t>
      </w:r>
      <w:r>
        <w:rPr>
          <w:rFonts w:hint="default" w:ascii="仿宋_GB2312" w:hAnsi="Times New Roman" w:eastAsia="仿宋_GB2312" w:cs="仿宋_GB2312"/>
          <w:kern w:val="0"/>
          <w:sz w:val="32"/>
          <w:szCs w:val="32"/>
          <w:lang w:val="en-US" w:eastAsia="zh-CN" w:bidi="ar"/>
        </w:rPr>
        <w:t>可发放</w:t>
      </w:r>
      <w:r>
        <w:rPr>
          <w:rFonts w:hint="eastAsia" w:ascii="仿宋_GB2312" w:hAnsi="Times New Roman" w:eastAsia="仿宋_GB2312" w:cs="仿宋_GB2312"/>
          <w:kern w:val="0"/>
          <w:sz w:val="32"/>
          <w:szCs w:val="32"/>
          <w:lang w:val="en-US" w:eastAsia="zh-CN" w:bidi="ar"/>
        </w:rPr>
        <w:t>麻山区</w:t>
      </w:r>
      <w:r>
        <w:rPr>
          <w:rFonts w:hint="default" w:ascii="仿宋_GB2312" w:hAnsi="Times New Roman" w:eastAsia="仿宋_GB2312" w:cs="仿宋_GB2312"/>
          <w:kern w:val="0"/>
          <w:sz w:val="32"/>
          <w:szCs w:val="32"/>
          <w:lang w:val="en-US" w:eastAsia="zh-CN" w:bidi="ar"/>
        </w:rPr>
        <w:t>重点企业“服务绿卡”：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（一）注册资金</w:t>
      </w:r>
      <w:r>
        <w:rPr>
          <w:rFonts w:hint="eastAsia" w:ascii="仿宋_GB2312" w:hAnsi="Times New Roman" w:eastAsia="仿宋_GB2312" w:cs="仿宋_GB2312"/>
          <w:kern w:val="0"/>
          <w:sz w:val="32"/>
          <w:szCs w:val="32"/>
          <w:lang w:val="en-US" w:eastAsia="zh-CN" w:bidi="ar"/>
        </w:rPr>
        <w:t>200</w:t>
      </w:r>
      <w:r>
        <w:rPr>
          <w:rFonts w:hint="default" w:ascii="仿宋_GB2312" w:hAnsi="Times New Roman" w:eastAsia="仿宋_GB2312" w:cs="仿宋_GB2312"/>
          <w:kern w:val="0"/>
          <w:sz w:val="32"/>
          <w:szCs w:val="32"/>
          <w:lang w:val="en-US" w:eastAsia="zh-CN" w:bidi="ar"/>
        </w:rPr>
        <w:t>万元</w:t>
      </w:r>
      <w:r>
        <w:rPr>
          <w:rFonts w:hint="eastAsia" w:ascii="仿宋_GB2312" w:hAnsi="Times New Roman" w:eastAsia="仿宋_GB2312" w:cs="仿宋_GB2312"/>
          <w:kern w:val="0"/>
          <w:sz w:val="32"/>
          <w:szCs w:val="32"/>
          <w:lang w:val="en-US" w:eastAsia="zh-CN" w:bidi="ar"/>
        </w:rPr>
        <w:t>（</w:t>
      </w:r>
      <w:r>
        <w:rPr>
          <w:rFonts w:hint="default" w:ascii="仿宋_GB2312" w:hAnsi="Times New Roman" w:eastAsia="仿宋_GB2312" w:cs="仿宋_GB2312"/>
          <w:kern w:val="0"/>
          <w:sz w:val="32"/>
          <w:szCs w:val="32"/>
          <w:lang w:val="en-US" w:eastAsia="zh-CN" w:bidi="ar"/>
        </w:rPr>
        <w:t>含</w:t>
      </w:r>
      <w:r>
        <w:rPr>
          <w:rFonts w:hint="eastAsia" w:ascii="仿宋_GB2312" w:hAnsi="Times New Roman" w:eastAsia="仿宋_GB2312" w:cs="仿宋_GB2312"/>
          <w:kern w:val="0"/>
          <w:sz w:val="32"/>
          <w:szCs w:val="32"/>
          <w:lang w:val="en-US" w:eastAsia="zh-CN" w:bidi="ar"/>
        </w:rPr>
        <w:t>200</w:t>
      </w:r>
      <w:r>
        <w:rPr>
          <w:rFonts w:hint="default" w:ascii="仿宋_GB2312" w:hAnsi="Times New Roman" w:eastAsia="仿宋_GB2312" w:cs="仿宋_GB2312"/>
          <w:kern w:val="0"/>
          <w:sz w:val="32"/>
          <w:szCs w:val="32"/>
          <w:lang w:val="en-US" w:eastAsia="zh-CN" w:bidi="ar"/>
        </w:rPr>
        <w:t>万元，以外资注入的按注入资金当日汇率折算，下同</w:t>
      </w:r>
      <w:r>
        <w:rPr>
          <w:rFonts w:hint="eastAsia" w:ascii="仿宋_GB2312" w:hAnsi="Times New Roman" w:eastAsia="仿宋_GB2312" w:cs="仿宋_GB2312"/>
          <w:kern w:val="0"/>
          <w:sz w:val="32"/>
          <w:szCs w:val="32"/>
          <w:lang w:val="en-US" w:eastAsia="zh-CN" w:bidi="ar"/>
        </w:rPr>
        <w:t>）</w:t>
      </w:r>
      <w:r>
        <w:rPr>
          <w:rFonts w:hint="default" w:ascii="仿宋_GB2312" w:hAnsi="Times New Roman" w:eastAsia="仿宋_GB2312" w:cs="仿宋_GB2312"/>
          <w:kern w:val="0"/>
          <w:sz w:val="32"/>
          <w:szCs w:val="32"/>
          <w:lang w:val="en-US" w:eastAsia="zh-CN" w:bidi="ar"/>
        </w:rPr>
        <w:t>人民币以上；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（二）年实际上缴税金</w:t>
      </w:r>
      <w:r>
        <w:rPr>
          <w:rFonts w:hint="eastAsia" w:ascii="仿宋_GB2312" w:hAnsi="Times New Roman" w:eastAsia="仿宋_GB2312" w:cs="仿宋_GB2312"/>
          <w:kern w:val="0"/>
          <w:sz w:val="32"/>
          <w:szCs w:val="32"/>
          <w:lang w:val="en-US" w:eastAsia="zh-CN" w:bidi="ar"/>
        </w:rPr>
        <w:t>20</w:t>
      </w:r>
      <w:r>
        <w:rPr>
          <w:rFonts w:hint="default" w:ascii="仿宋_GB2312" w:hAnsi="Times New Roman" w:eastAsia="仿宋_GB2312" w:cs="仿宋_GB2312"/>
          <w:kern w:val="0"/>
          <w:sz w:val="32"/>
          <w:szCs w:val="32"/>
          <w:lang w:val="en-US" w:eastAsia="zh-CN" w:bidi="ar"/>
        </w:rPr>
        <w:t>万元</w:t>
      </w:r>
      <w:r>
        <w:rPr>
          <w:rFonts w:hint="eastAsia" w:ascii="仿宋_GB2312" w:hAnsi="Times New Roman" w:eastAsia="仿宋_GB2312" w:cs="仿宋_GB2312"/>
          <w:kern w:val="0"/>
          <w:sz w:val="32"/>
          <w:szCs w:val="32"/>
          <w:lang w:val="en-US" w:eastAsia="zh-CN" w:bidi="ar"/>
        </w:rPr>
        <w:t>（</w:t>
      </w:r>
      <w:r>
        <w:rPr>
          <w:rFonts w:hint="default" w:ascii="仿宋_GB2312" w:hAnsi="Times New Roman" w:eastAsia="仿宋_GB2312" w:cs="仿宋_GB2312"/>
          <w:kern w:val="0"/>
          <w:sz w:val="32"/>
          <w:szCs w:val="32"/>
          <w:lang w:val="en-US" w:eastAsia="zh-CN" w:bidi="ar"/>
        </w:rPr>
        <w:t>含</w:t>
      </w:r>
      <w:r>
        <w:rPr>
          <w:rFonts w:hint="eastAsia" w:ascii="仿宋_GB2312" w:hAnsi="Times New Roman" w:eastAsia="仿宋_GB2312" w:cs="仿宋_GB2312"/>
          <w:kern w:val="0"/>
          <w:sz w:val="32"/>
          <w:szCs w:val="32"/>
          <w:lang w:val="en-US" w:eastAsia="zh-CN" w:bidi="ar"/>
        </w:rPr>
        <w:t>20</w:t>
      </w:r>
      <w:r>
        <w:rPr>
          <w:rFonts w:hint="default" w:ascii="仿宋_GB2312" w:hAnsi="Times New Roman" w:eastAsia="仿宋_GB2312" w:cs="仿宋_GB2312"/>
          <w:kern w:val="0"/>
          <w:sz w:val="32"/>
          <w:szCs w:val="32"/>
          <w:lang w:val="en-US" w:eastAsia="zh-CN" w:bidi="ar"/>
        </w:rPr>
        <w:t>万元</w:t>
      </w:r>
      <w:r>
        <w:rPr>
          <w:rFonts w:hint="eastAsia" w:ascii="仿宋_GB2312" w:hAnsi="Times New Roman" w:eastAsia="仿宋_GB2312" w:cs="仿宋_GB2312"/>
          <w:kern w:val="0"/>
          <w:sz w:val="32"/>
          <w:szCs w:val="32"/>
          <w:lang w:val="en-US" w:eastAsia="zh-CN" w:bidi="ar"/>
        </w:rPr>
        <w:t>）</w:t>
      </w:r>
      <w:r>
        <w:rPr>
          <w:rFonts w:hint="default" w:ascii="仿宋_GB2312" w:hAnsi="Times New Roman" w:eastAsia="仿宋_GB2312" w:cs="仿宋_GB2312"/>
          <w:kern w:val="0"/>
          <w:sz w:val="32"/>
          <w:szCs w:val="32"/>
          <w:lang w:val="en-US" w:eastAsia="zh-CN" w:bidi="ar"/>
        </w:rPr>
        <w:t>人民币以上；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（三）</w:t>
      </w:r>
      <w:r>
        <w:rPr>
          <w:rFonts w:hint="eastAsia" w:ascii="仿宋_GB2312" w:hAnsi="Times New Roman" w:eastAsia="仿宋_GB2312" w:cs="仿宋_GB2312"/>
          <w:kern w:val="0"/>
          <w:sz w:val="32"/>
          <w:szCs w:val="32"/>
          <w:lang w:val="en-US" w:eastAsia="zh-CN" w:bidi="ar"/>
        </w:rPr>
        <w:t>区</w:t>
      </w:r>
      <w:r>
        <w:rPr>
          <w:rFonts w:hint="default" w:ascii="仿宋_GB2312" w:hAnsi="Times New Roman" w:eastAsia="仿宋_GB2312" w:cs="仿宋_GB2312"/>
          <w:kern w:val="0"/>
          <w:sz w:val="32"/>
          <w:szCs w:val="32"/>
          <w:lang w:val="en-US" w:eastAsia="zh-CN" w:bidi="ar"/>
        </w:rPr>
        <w:t>级以上高新技术企业、</w:t>
      </w:r>
      <w:r>
        <w:rPr>
          <w:rFonts w:hint="eastAsia" w:ascii="仿宋_GB2312" w:hAnsi="Times New Roman" w:eastAsia="仿宋_GB2312" w:cs="仿宋_GB2312"/>
          <w:kern w:val="0"/>
          <w:sz w:val="32"/>
          <w:szCs w:val="32"/>
          <w:lang w:val="en-US" w:eastAsia="zh-CN" w:bidi="ar"/>
        </w:rPr>
        <w:t>市、省</w:t>
      </w:r>
      <w:r>
        <w:rPr>
          <w:rFonts w:hint="default" w:ascii="仿宋_GB2312" w:hAnsi="Times New Roman" w:eastAsia="仿宋_GB2312" w:cs="仿宋_GB2312"/>
          <w:kern w:val="0"/>
          <w:sz w:val="32"/>
          <w:szCs w:val="32"/>
          <w:lang w:val="en-US" w:eastAsia="zh-CN" w:bidi="ar"/>
        </w:rPr>
        <w:t>级科技型中小企业</w:t>
      </w:r>
      <w:r>
        <w:rPr>
          <w:rFonts w:hint="eastAsia" w:ascii="仿宋_GB2312" w:hAnsi="Times New Roman" w:eastAsia="仿宋_GB2312" w:cs="仿宋_GB2312"/>
          <w:kern w:val="0"/>
          <w:sz w:val="32"/>
          <w:szCs w:val="32"/>
          <w:lang w:val="en-US" w:eastAsia="zh-CN" w:bidi="ar"/>
        </w:rPr>
        <w:t>，</w:t>
      </w:r>
      <w:r>
        <w:rPr>
          <w:rFonts w:hint="default" w:ascii="仿宋_GB2312" w:hAnsi="Times New Roman" w:eastAsia="仿宋_GB2312" w:cs="仿宋_GB2312"/>
          <w:kern w:val="0"/>
          <w:sz w:val="32"/>
          <w:szCs w:val="32"/>
          <w:lang w:val="en-US" w:eastAsia="zh-CN" w:bidi="ar"/>
        </w:rPr>
        <w:t>省级以上“专精特新”中小企业、省级以上“隐形冠军”企业。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（四）</w:t>
      </w:r>
      <w:r>
        <w:rPr>
          <w:rFonts w:hint="default" w:ascii="仿宋_GB2312" w:hAnsi="Times New Roman" w:eastAsia="仿宋_GB2312" w:cs="仿宋_GB2312"/>
          <w:kern w:val="0"/>
          <w:sz w:val="32"/>
          <w:szCs w:val="32"/>
          <w:lang w:val="en-US" w:eastAsia="zh-CN" w:bidi="ar"/>
        </w:rPr>
        <w:t>根据我市经济和社会发展需要，未列入上述范围的其他重点企业。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（五）企业在上年度有下列情况之一的，不予发放服务绿卡</w:t>
      </w:r>
      <w:r>
        <w:rPr>
          <w:rFonts w:hint="eastAsia" w:ascii="仿宋_GB2312" w:hAnsi="Times New Roman" w:eastAsia="仿宋_GB2312" w:cs="仿宋_GB2312"/>
          <w:kern w:val="0"/>
          <w:sz w:val="32"/>
          <w:szCs w:val="32"/>
          <w:lang w:val="en-US" w:eastAsia="zh-CN" w:bidi="ar"/>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1.生产或销售假冒伪劣产品的</w:t>
      </w:r>
      <w:r>
        <w:rPr>
          <w:rFonts w:hint="eastAsia" w:ascii="仿宋_GB2312" w:hAnsi="Times New Roman" w:eastAsia="仿宋_GB2312" w:cs="仿宋_GB2312"/>
          <w:kern w:val="0"/>
          <w:sz w:val="32"/>
          <w:szCs w:val="32"/>
          <w:lang w:val="en-US" w:eastAsia="zh-CN" w:bidi="ar"/>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2.有重大税收违法及金融违法违规行为的</w:t>
      </w:r>
      <w:r>
        <w:rPr>
          <w:rFonts w:hint="eastAsia" w:ascii="仿宋_GB2312" w:hAnsi="Times New Roman" w:eastAsia="仿宋_GB2312" w:cs="仿宋_GB2312"/>
          <w:kern w:val="0"/>
          <w:sz w:val="32"/>
          <w:szCs w:val="32"/>
          <w:lang w:val="en-US" w:eastAsia="zh-CN" w:bidi="ar"/>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3.发生重大安全生产和死亡事故的</w:t>
      </w:r>
      <w:r>
        <w:rPr>
          <w:rFonts w:hint="eastAsia" w:ascii="仿宋_GB2312" w:hAnsi="Times New Roman" w:eastAsia="仿宋_GB2312" w:cs="仿宋_GB2312"/>
          <w:kern w:val="0"/>
          <w:sz w:val="32"/>
          <w:szCs w:val="32"/>
          <w:lang w:val="en-US" w:eastAsia="zh-CN" w:bidi="ar"/>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4.发生重大及以上环境污染事故的；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5.严重拖欠劳动者报酬的</w:t>
      </w:r>
      <w:r>
        <w:rPr>
          <w:rFonts w:hint="eastAsia" w:ascii="仿宋_GB2312" w:hAnsi="Times New Roman" w:eastAsia="仿宋_GB2312" w:cs="仿宋_GB2312"/>
          <w:kern w:val="0"/>
          <w:sz w:val="32"/>
          <w:szCs w:val="32"/>
          <w:lang w:val="en-US" w:eastAsia="zh-CN" w:bidi="ar"/>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default" w:ascii="仿宋_GB2312" w:hAnsi="Times New Roman" w:eastAsia="仿宋_GB2312" w:cs="仿宋_GB2312"/>
          <w:kern w:val="0"/>
          <w:sz w:val="32"/>
          <w:szCs w:val="32"/>
          <w:lang w:val="en-US" w:eastAsia="zh-CN" w:bidi="ar"/>
        </w:rPr>
        <w:t>6.有其他严重违法行为的。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default" w:ascii="黑体" w:hAnsi="黑体" w:eastAsia="黑体" w:cs="黑体"/>
          <w:i w:val="0"/>
          <w:iCs w:val="0"/>
          <w:caps w:val="0"/>
          <w:color w:val="222222"/>
          <w:spacing w:val="0"/>
          <w:kern w:val="0"/>
          <w:sz w:val="32"/>
          <w:szCs w:val="32"/>
          <w:shd w:val="clear" w:fill="FFFFFF"/>
          <w:lang w:val="en-US" w:eastAsia="zh-CN" w:bidi="ar"/>
        </w:rPr>
      </w:pPr>
      <w:r>
        <w:rPr>
          <w:rFonts w:hint="eastAsia" w:ascii="黑体" w:hAnsi="黑体" w:eastAsia="黑体" w:cs="黑体"/>
          <w:i w:val="0"/>
          <w:iCs w:val="0"/>
          <w:caps w:val="0"/>
          <w:color w:val="222222"/>
          <w:spacing w:val="0"/>
          <w:kern w:val="0"/>
          <w:sz w:val="32"/>
          <w:szCs w:val="32"/>
          <w:shd w:val="clear" w:fill="FFFFFF"/>
          <w:lang w:val="en-US" w:eastAsia="zh-CN" w:bidi="ar"/>
        </w:rPr>
        <w:t>三、</w:t>
      </w:r>
      <w:r>
        <w:rPr>
          <w:rFonts w:hint="default" w:ascii="黑体" w:hAnsi="黑体" w:eastAsia="黑体" w:cs="黑体"/>
          <w:i w:val="0"/>
          <w:iCs w:val="0"/>
          <w:caps w:val="0"/>
          <w:color w:val="222222"/>
          <w:spacing w:val="0"/>
          <w:kern w:val="0"/>
          <w:sz w:val="32"/>
          <w:szCs w:val="32"/>
          <w:shd w:val="clear" w:fill="FFFFFF"/>
          <w:lang w:val="en-US" w:eastAsia="zh-CN" w:bidi="ar"/>
        </w:rPr>
        <w:t>服务内容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Times New Roman" w:eastAsia="仿宋_GB2312" w:cs="仿宋_GB2312"/>
          <w:kern w:val="0"/>
          <w:sz w:val="32"/>
          <w:szCs w:val="32"/>
          <w:lang w:val="en-US" w:eastAsia="zh-CN" w:bidi="ar"/>
        </w:rPr>
      </w:pPr>
      <w:r>
        <w:rPr>
          <w:rFonts w:hint="eastAsia" w:ascii="黑体" w:hAnsi="黑体" w:eastAsia="黑体" w:cs="黑体"/>
          <w:kern w:val="0"/>
          <w:sz w:val="32"/>
          <w:szCs w:val="32"/>
          <w:lang w:val="en-US" w:eastAsia="zh-CN" w:bidi="ar"/>
        </w:rPr>
        <w:t>（一）绿色通道服务</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仿宋_GB2312" w:hAnsi="Times New Roman" w:eastAsia="仿宋_GB2312" w:cs="仿宋_GB2312"/>
          <w:kern w:val="0"/>
          <w:sz w:val="32"/>
          <w:szCs w:val="32"/>
          <w:lang w:val="en-US" w:eastAsia="zh-CN" w:bidi="ar"/>
        </w:rPr>
      </w:pPr>
      <w:r>
        <w:rPr>
          <w:rFonts w:hint="eastAsia" w:ascii="仿宋_GB2312" w:hAnsi="Times New Roman" w:eastAsia="仿宋_GB2312" w:cs="仿宋_GB2312"/>
          <w:b/>
          <w:bCs/>
          <w:kern w:val="0"/>
          <w:sz w:val="32"/>
          <w:szCs w:val="32"/>
          <w:lang w:val="en-US" w:eastAsia="zh-CN" w:bidi="ar"/>
        </w:rPr>
        <w:t>对持卡企业推行“帮跑腿”办证制度。</w:t>
      </w:r>
      <w:r>
        <w:rPr>
          <w:rFonts w:hint="default" w:ascii="仿宋_GB2312" w:hAnsi="Times New Roman" w:eastAsia="仿宋_GB2312" w:cs="仿宋_GB2312"/>
          <w:kern w:val="0"/>
          <w:sz w:val="32"/>
          <w:szCs w:val="32"/>
          <w:lang w:val="en-US" w:eastAsia="zh-CN" w:bidi="ar"/>
        </w:rPr>
        <w:t>在</w:t>
      </w:r>
      <w:r>
        <w:rPr>
          <w:rFonts w:hint="eastAsia" w:ascii="仿宋_GB2312" w:hAnsi="Times New Roman" w:eastAsia="仿宋_GB2312" w:cs="仿宋_GB2312"/>
          <w:kern w:val="0"/>
          <w:sz w:val="32"/>
          <w:szCs w:val="32"/>
          <w:lang w:val="en-US" w:eastAsia="zh-CN" w:bidi="ar"/>
        </w:rPr>
        <w:t>区</w:t>
      </w:r>
      <w:r>
        <w:rPr>
          <w:rFonts w:hint="default" w:ascii="仿宋_GB2312" w:hAnsi="Times New Roman" w:eastAsia="仿宋_GB2312" w:cs="仿宋_GB2312"/>
          <w:kern w:val="0"/>
          <w:sz w:val="32"/>
          <w:szCs w:val="32"/>
          <w:lang w:val="en-US" w:eastAsia="zh-CN" w:bidi="ar"/>
        </w:rPr>
        <w:t>本级政务服务大厅企业服务专区设置绿卡服务受理窗口</w:t>
      </w:r>
      <w:r>
        <w:rPr>
          <w:rFonts w:hint="eastAsia" w:ascii="仿宋_GB2312" w:hAnsi="Times New Roman" w:eastAsia="仿宋_GB2312" w:cs="仿宋_GB2312"/>
          <w:kern w:val="0"/>
          <w:sz w:val="32"/>
          <w:szCs w:val="32"/>
          <w:lang w:val="en-US" w:eastAsia="zh-CN" w:bidi="ar"/>
        </w:rPr>
        <w:t>，</w:t>
      </w:r>
      <w:r>
        <w:rPr>
          <w:rFonts w:hint="default" w:ascii="仿宋_GB2312" w:hAnsi="Times New Roman" w:eastAsia="仿宋_GB2312" w:cs="仿宋_GB2312"/>
          <w:kern w:val="0"/>
          <w:sz w:val="32"/>
          <w:szCs w:val="32"/>
          <w:lang w:val="en-US" w:eastAsia="zh-CN" w:bidi="ar"/>
        </w:rPr>
        <w:t>实行专人服务、全程帮办、组织协调、催办督办；对非入驻大厅的事项，督促相关职能部门全程跟踪服务，及时协调解决企业办理中的问题；对需在基层部门受理的事项，督促基层单位在规定的时限内办结；对超出</w:t>
      </w:r>
      <w:r>
        <w:rPr>
          <w:rFonts w:hint="eastAsia" w:ascii="仿宋_GB2312" w:hAnsi="Times New Roman" w:eastAsia="仿宋_GB2312" w:cs="仿宋_GB2312"/>
          <w:kern w:val="0"/>
          <w:sz w:val="32"/>
          <w:szCs w:val="32"/>
          <w:lang w:val="en-US" w:eastAsia="zh-CN" w:bidi="ar"/>
        </w:rPr>
        <w:t>区</w:t>
      </w:r>
      <w:r>
        <w:rPr>
          <w:rFonts w:hint="default" w:ascii="仿宋_GB2312" w:hAnsi="Times New Roman" w:eastAsia="仿宋_GB2312" w:cs="仿宋_GB2312"/>
          <w:kern w:val="0"/>
          <w:sz w:val="32"/>
          <w:szCs w:val="32"/>
          <w:lang w:val="en-US" w:eastAsia="zh-CN" w:bidi="ar"/>
        </w:rPr>
        <w:t>级审批权限的事项，协调相关部门指派专人协调</w:t>
      </w:r>
      <w:r>
        <w:rPr>
          <w:rFonts w:hint="eastAsia" w:ascii="仿宋_GB2312" w:hAnsi="Times New Roman" w:eastAsia="仿宋_GB2312" w:cs="仿宋_GB2312"/>
          <w:kern w:val="0"/>
          <w:sz w:val="32"/>
          <w:szCs w:val="32"/>
          <w:lang w:val="en-US" w:eastAsia="zh-CN" w:bidi="ar"/>
        </w:rPr>
        <w:t>上级</w:t>
      </w:r>
      <w:r>
        <w:rPr>
          <w:rFonts w:hint="default" w:ascii="仿宋_GB2312" w:hAnsi="Times New Roman" w:eastAsia="仿宋_GB2312" w:cs="仿宋_GB2312"/>
          <w:kern w:val="0"/>
          <w:sz w:val="32"/>
          <w:szCs w:val="32"/>
          <w:lang w:val="en-US" w:eastAsia="zh-CN" w:bidi="ar"/>
        </w:rPr>
        <w:t>部门为企业办理相关审批服务。</w:t>
      </w:r>
      <w:r>
        <w:rPr>
          <w:rFonts w:hint="eastAsia" w:ascii="仿宋_GB2312" w:hAnsi="Times New Roman" w:eastAsia="仿宋_GB2312" w:cs="仿宋_GB2312"/>
          <w:kern w:val="0"/>
          <w:sz w:val="32"/>
          <w:szCs w:val="32"/>
          <w:lang w:val="en-US" w:eastAsia="zh-CN" w:bidi="ar"/>
        </w:rPr>
        <w:t>（牵头单位：区市场监督管理局；责任单位：区工业信息科技局、区发展和改革局）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（二）简化流程服务</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b/>
          <w:bCs/>
          <w:kern w:val="0"/>
          <w:sz w:val="32"/>
          <w:szCs w:val="32"/>
          <w:lang w:val="en-US" w:eastAsia="zh-CN" w:bidi="ar"/>
        </w:rPr>
        <w:t>为持卡企业取消非必要的行政审批事项，许可事项限时办结。</w:t>
      </w:r>
      <w:r>
        <w:rPr>
          <w:rFonts w:hint="eastAsia" w:ascii="仿宋_GB2312" w:hAnsi="Times New Roman" w:eastAsia="仿宋_GB2312" w:cs="仿宋_GB2312"/>
          <w:kern w:val="0"/>
          <w:sz w:val="32"/>
          <w:szCs w:val="32"/>
          <w:lang w:val="en-US" w:eastAsia="zh-CN" w:bidi="ar"/>
        </w:rPr>
        <w:t>凡是法律法规和上级政府没有明确规定的行政审批事项，一律予以取消；对符合国家产业政策、土地利用总体规划、城市发展规划、环境保护和安全生产条件、市本级许可范围内的事项，相关部门在收到持卡企业申请后，应在承诺时限内办理相关事项，依法需公示、评估、论证、招投标的时间不计算在内。（牵头单位：区市场监督管理局；责任单位：区工业信息科技局、区市场监督管理局、区发展和改革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黑体" w:hAnsi="黑体" w:eastAsia="黑体" w:cs="黑体"/>
          <w:kern w:val="2"/>
          <w:sz w:val="32"/>
          <w:szCs w:val="32"/>
          <w:highlight w:val="none"/>
          <w:lang w:val="en-US" w:eastAsia="zh-CN" w:bidi="ar-SA"/>
        </w:rPr>
      </w:pPr>
      <w:r>
        <w:rPr>
          <w:rFonts w:hint="default" w:ascii="黑体" w:hAnsi="黑体" w:eastAsia="黑体" w:cs="黑体"/>
          <w:kern w:val="2"/>
          <w:sz w:val="32"/>
          <w:szCs w:val="32"/>
          <w:highlight w:val="none"/>
          <w:lang w:val="en-US" w:eastAsia="zh-CN" w:bidi="ar-SA"/>
        </w:rPr>
        <w:t>（</w:t>
      </w:r>
      <w:r>
        <w:rPr>
          <w:rFonts w:hint="eastAsia" w:ascii="黑体" w:hAnsi="黑体" w:eastAsia="黑体" w:cs="黑体"/>
          <w:kern w:val="2"/>
          <w:sz w:val="32"/>
          <w:szCs w:val="32"/>
          <w:highlight w:val="none"/>
          <w:lang w:val="en-US" w:eastAsia="zh-CN" w:bidi="ar-SA"/>
        </w:rPr>
        <w:t>三</w:t>
      </w:r>
      <w:r>
        <w:rPr>
          <w:rFonts w:hint="default" w:ascii="黑体" w:hAnsi="黑体" w:eastAsia="黑体" w:cs="黑体"/>
          <w:kern w:val="2"/>
          <w:sz w:val="32"/>
          <w:szCs w:val="32"/>
          <w:highlight w:val="none"/>
          <w:lang w:val="en-US" w:eastAsia="zh-CN" w:bidi="ar-SA"/>
        </w:rPr>
        <w:t>）部门跟踪服务</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b/>
          <w:bCs/>
          <w:kern w:val="0"/>
          <w:sz w:val="32"/>
          <w:szCs w:val="32"/>
          <w:highlight w:val="none"/>
          <w:lang w:val="en-US" w:eastAsia="zh-CN" w:bidi="ar"/>
        </w:rPr>
        <w:t>搭建持卡企业诉求“直通车”。</w:t>
      </w:r>
      <w:r>
        <w:rPr>
          <w:rFonts w:hint="eastAsia" w:ascii="仿宋_GB2312" w:hAnsi="Times New Roman" w:eastAsia="仿宋_GB2312" w:cs="仿宋_GB2312"/>
          <w:kern w:val="0"/>
          <w:sz w:val="32"/>
          <w:szCs w:val="32"/>
          <w:lang w:val="en-US" w:eastAsia="zh-CN" w:bidi="ar"/>
        </w:rPr>
        <w:t>区级相关部门</w:t>
      </w:r>
      <w:r>
        <w:rPr>
          <w:rFonts w:hint="default" w:ascii="仿宋_GB2312" w:hAnsi="Times New Roman" w:eastAsia="仿宋_GB2312" w:cs="仿宋_GB2312"/>
          <w:kern w:val="0"/>
          <w:sz w:val="32"/>
          <w:szCs w:val="32"/>
          <w:lang w:val="en-US" w:eastAsia="zh-CN" w:bidi="ar"/>
        </w:rPr>
        <w:t>要采取入企调研、座谈交流等方式，常态化建立与“绿卡”企业交流机制，互通政策信息、沟通感情，听取企业的意见和建议，帮助企业解决实际困难。</w:t>
      </w:r>
      <w:r>
        <w:rPr>
          <w:rFonts w:hint="eastAsia" w:ascii="仿宋_GB2312" w:hAnsi="Times New Roman" w:eastAsia="仿宋_GB2312" w:cs="仿宋_GB2312"/>
          <w:kern w:val="0"/>
          <w:sz w:val="32"/>
          <w:szCs w:val="32"/>
          <w:lang w:val="en-US" w:eastAsia="zh-CN" w:bidi="ar"/>
        </w:rPr>
        <w:t>区级</w:t>
      </w:r>
      <w:r>
        <w:rPr>
          <w:rFonts w:hint="default" w:ascii="仿宋_GB2312" w:hAnsi="Times New Roman" w:eastAsia="仿宋_GB2312" w:cs="仿宋_GB2312"/>
          <w:kern w:val="0"/>
          <w:sz w:val="32"/>
          <w:szCs w:val="32"/>
          <w:lang w:val="en-US" w:eastAsia="zh-CN" w:bidi="ar"/>
        </w:rPr>
        <w:t>有关部门主要领导亲自督促，协调处理本部门涉及为“绿卡”企业服务的相关工作，并指派专人为企业提供全方位服务，“绿卡”企业在办理业务过程中遇到疑难问题，可预约有关部门上门办理，有关部门对办理情况进行实时跟踪，并及时反馈给企业服务专区。</w:t>
      </w:r>
      <w:r>
        <w:rPr>
          <w:rFonts w:hint="eastAsia" w:ascii="仿宋_GB2312" w:hAnsi="Times New Roman" w:eastAsia="仿宋_GB2312" w:cs="仿宋_GB2312"/>
          <w:kern w:val="0"/>
          <w:sz w:val="32"/>
          <w:szCs w:val="32"/>
          <w:lang w:val="en-US" w:eastAsia="zh-CN" w:bidi="ar"/>
        </w:rPr>
        <w:t>（牵头单位：区市场监督管理局；责任单位：区工业信息科技局、区发展和改革局、区税务局、区人力资源社会保障局）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黑体" w:hAnsi="黑体" w:eastAsia="黑体" w:cs="黑体"/>
          <w:kern w:val="2"/>
          <w:sz w:val="32"/>
          <w:szCs w:val="32"/>
          <w:highlight w:val="none"/>
          <w:lang w:val="en-US" w:eastAsia="zh-CN" w:bidi="ar-SA"/>
        </w:rPr>
      </w:pPr>
      <w:r>
        <w:rPr>
          <w:rFonts w:hint="default" w:ascii="黑体" w:hAnsi="黑体" w:eastAsia="黑体" w:cs="黑体"/>
          <w:kern w:val="2"/>
          <w:sz w:val="32"/>
          <w:szCs w:val="32"/>
          <w:highlight w:val="none"/>
          <w:lang w:val="en-US" w:eastAsia="zh-CN" w:bidi="ar-SA"/>
        </w:rPr>
        <w:t>（</w:t>
      </w:r>
      <w:r>
        <w:rPr>
          <w:rFonts w:hint="eastAsia" w:ascii="黑体" w:hAnsi="黑体" w:eastAsia="黑体" w:cs="黑体"/>
          <w:kern w:val="2"/>
          <w:sz w:val="32"/>
          <w:szCs w:val="32"/>
          <w:highlight w:val="none"/>
          <w:lang w:val="en-US" w:eastAsia="zh-CN" w:bidi="ar-SA"/>
        </w:rPr>
        <w:t>四</w:t>
      </w:r>
      <w:r>
        <w:rPr>
          <w:rFonts w:hint="default" w:ascii="黑体" w:hAnsi="黑体" w:eastAsia="黑体" w:cs="黑体"/>
          <w:kern w:val="2"/>
          <w:sz w:val="32"/>
          <w:szCs w:val="32"/>
          <w:highlight w:val="none"/>
          <w:lang w:val="en-US" w:eastAsia="zh-CN" w:bidi="ar-SA"/>
        </w:rPr>
        <w:t>）政策推送服务</w:t>
      </w:r>
    </w:p>
    <w:p>
      <w:pPr>
        <w:keepNext w:val="0"/>
        <w:keepLines w:val="0"/>
        <w:pageBreakBefore w:val="0"/>
        <w:kinsoku/>
        <w:wordWrap/>
        <w:overflowPunct/>
        <w:topLinePunct w:val="0"/>
        <w:autoSpaceDE/>
        <w:autoSpaceDN/>
        <w:bidi w:val="0"/>
        <w:adjustRightInd/>
        <w:snapToGrid/>
        <w:spacing w:line="560" w:lineRule="exact"/>
        <w:ind w:firstLine="622" w:firstLineChars="200"/>
        <w:textAlignment w:val="auto"/>
        <w:rPr>
          <w:rFonts w:hint="default" w:ascii="仿宋_GB2312" w:hAnsi="Times New Roman" w:eastAsia="仿宋_GB2312" w:cs="仿宋_GB2312"/>
          <w:kern w:val="0"/>
          <w:sz w:val="32"/>
          <w:szCs w:val="32"/>
          <w:lang w:val="en-US" w:eastAsia="zh-CN" w:bidi="ar"/>
        </w:rPr>
      </w:pPr>
      <w:r>
        <w:rPr>
          <w:rFonts w:hint="eastAsia" w:ascii="仿宋_GB2312" w:hAnsi="Times New Roman" w:eastAsia="仿宋_GB2312" w:cs="仿宋_GB2312"/>
          <w:b/>
          <w:bCs/>
          <w:sz w:val="31"/>
          <w:szCs w:val="31"/>
          <w:lang w:eastAsia="zh-CN"/>
        </w:rPr>
        <w:t>对持卡企业惠企政策“早知道”。</w:t>
      </w:r>
      <w:r>
        <w:rPr>
          <w:rFonts w:hint="default" w:ascii="仿宋_GB2312" w:hAnsi="Times New Roman" w:eastAsia="仿宋_GB2312" w:cs="仿宋_GB2312"/>
          <w:kern w:val="0"/>
          <w:sz w:val="32"/>
          <w:szCs w:val="32"/>
          <w:lang w:val="en-US" w:eastAsia="zh-CN" w:bidi="ar"/>
        </w:rPr>
        <w:t>各有关部门应对其上级行业主管部门以及本地本部门本系统起草制发的各类惠企政策和政策解读文章</w:t>
      </w:r>
      <w:r>
        <w:rPr>
          <w:rFonts w:hint="eastAsia" w:ascii="仿宋_GB2312" w:hAnsi="Times New Roman" w:eastAsia="仿宋_GB2312" w:cs="仿宋_GB2312"/>
          <w:kern w:val="0"/>
          <w:sz w:val="32"/>
          <w:szCs w:val="32"/>
          <w:lang w:val="en-US" w:eastAsia="zh-CN" w:bidi="ar"/>
        </w:rPr>
        <w:t>，</w:t>
      </w:r>
      <w:r>
        <w:rPr>
          <w:rFonts w:hint="default" w:ascii="仿宋_GB2312" w:hAnsi="Times New Roman" w:eastAsia="仿宋_GB2312" w:cs="仿宋_GB2312"/>
          <w:kern w:val="0"/>
          <w:sz w:val="32"/>
          <w:szCs w:val="32"/>
          <w:lang w:val="en-US" w:eastAsia="zh-CN" w:bidi="ar"/>
        </w:rPr>
        <w:t>主动及时将政策推送至持“绿卡”企业，同时配置政策兑现流程，并及时审批发放。</w:t>
      </w:r>
      <w:r>
        <w:rPr>
          <w:rFonts w:hint="eastAsia" w:ascii="仿宋_GB2312" w:hAnsi="Times New Roman" w:eastAsia="仿宋_GB2312" w:cs="仿宋_GB2312"/>
          <w:kern w:val="0"/>
          <w:sz w:val="32"/>
          <w:szCs w:val="32"/>
          <w:lang w:val="en-US" w:eastAsia="zh-CN" w:bidi="ar"/>
        </w:rPr>
        <w:t>（牵头单位：区市场监督管理局；责任单位：区工业信息科技局、区发展和改革局、区税务局、区人力资源社会保障局）</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right="0" w:rightChars="0" w:firstLine="640" w:firstLineChars="20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（五）监督检查服务</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pPr>
      <w:r>
        <w:rPr>
          <w:rFonts w:hint="eastAsia" w:ascii="仿宋_GB2312" w:hAnsi="Times New Roman" w:eastAsia="仿宋_GB2312" w:cs="仿宋_GB2312"/>
          <w:b/>
          <w:bCs/>
          <w:kern w:val="0"/>
          <w:sz w:val="32"/>
          <w:szCs w:val="32"/>
          <w:lang w:val="en-US" w:eastAsia="zh-CN" w:bidi="ar"/>
        </w:rPr>
        <w:t>对持卡企业“非必要不检查”。</w:t>
      </w:r>
      <w:r>
        <w:rPr>
          <w:rFonts w:hint="eastAsia" w:ascii="仿宋_GB2312" w:hAnsi="Times New Roman" w:eastAsia="仿宋_GB2312" w:cs="仿宋_GB2312"/>
          <w:kern w:val="0"/>
          <w:sz w:val="32"/>
          <w:szCs w:val="32"/>
          <w:lang w:val="en-US" w:eastAsia="zh-CN" w:bidi="ar"/>
        </w:rPr>
        <w:t>树立“融监管于服务、在服务中监管”的理念，对持卡企业做到免打扰、少打扰。全面梳理各项检查督查，严格规范对持卡企业的检查、行政处罚和强制措施行为，强化单位间协调和部门内统筹，除安</w:t>
      </w:r>
      <w:bookmarkStart w:id="0" w:name="_GoBack"/>
      <w:bookmarkEnd w:id="0"/>
      <w:r>
        <w:rPr>
          <w:rFonts w:hint="eastAsia" w:ascii="仿宋_GB2312" w:hAnsi="Times New Roman" w:eastAsia="仿宋_GB2312" w:cs="仿宋_GB2312"/>
          <w:kern w:val="0"/>
          <w:sz w:val="32"/>
          <w:szCs w:val="32"/>
          <w:lang w:val="en-US" w:eastAsia="zh-CN" w:bidi="ar"/>
        </w:rPr>
        <w:t>全生产等法律法规规定必须实施的检查外，非必要不开展各类执法检查，尽量避免重复检查、多头检查、交叉检查。（牵头单位：区市场监督管理局；责任单位：区工业信息科技局、区发展和改革局、区应急管理局、区人力资源和社会保障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黑体" w:hAnsi="黑体" w:eastAsia="黑体" w:cs="黑体"/>
          <w:i w:val="0"/>
          <w:iCs w:val="0"/>
          <w:caps w:val="0"/>
          <w:color w:val="222222"/>
          <w:spacing w:val="0"/>
          <w:kern w:val="0"/>
          <w:sz w:val="32"/>
          <w:szCs w:val="32"/>
          <w:highlight w:val="none"/>
          <w:shd w:val="clear" w:fill="FFFFFF"/>
          <w:lang w:val="en-US" w:eastAsia="zh-CN" w:bidi="ar"/>
        </w:rPr>
      </w:pPr>
      <w:r>
        <w:rPr>
          <w:rFonts w:hint="eastAsia" w:ascii="黑体" w:hAnsi="黑体" w:eastAsia="黑体" w:cs="黑体"/>
          <w:i w:val="0"/>
          <w:iCs w:val="0"/>
          <w:caps w:val="0"/>
          <w:color w:val="222222"/>
          <w:spacing w:val="0"/>
          <w:kern w:val="0"/>
          <w:sz w:val="32"/>
          <w:szCs w:val="32"/>
          <w:highlight w:val="none"/>
          <w:shd w:val="clear" w:fill="FFFFFF"/>
          <w:lang w:val="en-US" w:eastAsia="zh-CN" w:bidi="ar"/>
        </w:rPr>
        <w:t>四、管理使用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麻山区重点企业“服务绿卡”由区政府委托区市场监督管理局负责制发、管理等工作。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（一）申报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由区市场监督管理局、区发展与改革局、区工业信息科技局对符合条件的企业进行推荐；原则上每年集中申报一次。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（二）发放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由区市场监督管理局向重点企业发放麻山区重点企业“服务绿卡”，实行“一企一卡”制，同一法人或同一管理团队的企业，原则上不重复发放。</w:t>
      </w:r>
      <w:r>
        <w:rPr>
          <w:rFonts w:hint="default" w:ascii="仿宋_GB2312" w:hAnsi="Times New Roman" w:eastAsia="仿宋_GB2312" w:cs="仿宋_GB2312"/>
          <w:kern w:val="0"/>
          <w:sz w:val="32"/>
          <w:szCs w:val="32"/>
          <w:lang w:val="en-US" w:eastAsia="zh-CN" w:bidi="ar"/>
        </w:rPr>
        <w:t>企业服务专区做好</w:t>
      </w:r>
      <w:r>
        <w:rPr>
          <w:rFonts w:hint="eastAsia" w:ascii="仿宋_GB2312" w:hAnsi="Times New Roman" w:eastAsia="仿宋_GB2312" w:cs="仿宋_GB2312"/>
          <w:kern w:val="0"/>
          <w:sz w:val="32"/>
          <w:szCs w:val="32"/>
          <w:lang w:val="en-US" w:eastAsia="zh-CN" w:bidi="ar"/>
        </w:rPr>
        <w:t>信息登记、</w:t>
      </w:r>
      <w:r>
        <w:rPr>
          <w:rFonts w:hint="default" w:ascii="仿宋_GB2312" w:hAnsi="Times New Roman" w:eastAsia="仿宋_GB2312" w:cs="仿宋_GB2312"/>
          <w:kern w:val="0"/>
          <w:sz w:val="32"/>
          <w:szCs w:val="32"/>
          <w:lang w:val="en-US" w:eastAsia="zh-CN" w:bidi="ar"/>
        </w:rPr>
        <w:t>日常管理和服务工作。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（三）注销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1.由区工业信息科技局牵头负责，区应急管理局、区自然资源局、区营商局、区市场监督管理局、区信访局、区公安局及时反映，跟踪掌握重点企业情况，对出现下列情形之一的，报发卡部门注销“服务绿卡”：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（1）企业发生较大及以上生产安全事故或较大及以上突发环境事件；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企业撤走设备、资金或投资不到位导致达不到持卡最低条件要求的</w:t>
      </w:r>
      <w:r>
        <w:rPr>
          <w:rFonts w:hint="eastAsia" w:ascii="仿宋_GB2312" w:hAnsi="Times New Roman" w:eastAsia="仿宋_GB2312" w:cs="仿宋_GB2312"/>
          <w:kern w:val="0"/>
          <w:sz w:val="32"/>
          <w:szCs w:val="32"/>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（3）企业注销、迁移出本市；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（4）企业被列入失信“黑名单”；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（5）企业发生重大违法违规行为；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（6）因企业原因造成集访群访不稳定事件等其他应当注销的情形；</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（7）被注销“服务绿卡”的企业，三年内不得再次申领。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（四）期限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重点企业“服务绿卡”有效期为两年。期满后如需继续使用，须在有效期结束前60天内向发卡部门提出续用申请，经审核后按程序予以办理。</w:t>
      </w:r>
    </w:p>
    <w:p>
      <w:pPr>
        <w:jc w:val="right"/>
      </w:pPr>
    </w:p>
    <w:p>
      <w:pPr>
        <w:rPr>
          <w:rFonts w:hint="default"/>
          <w:lang w:val="en-US" w:eastAsia="zh-CN"/>
        </w:rPr>
      </w:pPr>
    </w:p>
    <w:sectPr>
      <w:footerReference r:id="rId3" w:type="default"/>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0ZDk2NWYzOWM4MmJkZGRjYjk0MmE1Yzk5OTJlMTMifQ=="/>
  </w:docVars>
  <w:rsids>
    <w:rsidRoot w:val="156866A4"/>
    <w:rsid w:val="06871D9E"/>
    <w:rsid w:val="0C0E0A1B"/>
    <w:rsid w:val="134C35A2"/>
    <w:rsid w:val="156866A4"/>
    <w:rsid w:val="16BE3615"/>
    <w:rsid w:val="335C3AEF"/>
    <w:rsid w:val="35A861E8"/>
    <w:rsid w:val="3B9436D9"/>
    <w:rsid w:val="41457144"/>
    <w:rsid w:val="43AC6351"/>
    <w:rsid w:val="500305A7"/>
    <w:rsid w:val="510C4F82"/>
    <w:rsid w:val="61FC74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2023-11-30T04:40:00Z</dcterms:created>
  <dc:creator>梦见</dc:creator>
  <cp:lastModifiedBy>梦见</cp:lastModifiedBy>
  <dcterms:modified xsi:type="dcterms:W3CDTF">2023-12-15T02:59:14Z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DE09198491B8474BBFEAED8D8EF5F690_13</vt:lpwstr>
  </property>
</Properties>
</file>