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883" w:firstLineChars="200"/>
        <w:contextualSpacing/>
        <w:jc w:val="center"/>
        <w:rPr>
          <w:rFonts w:eastAsia="宋体"/>
          <w:b/>
          <w:color w:val="auto"/>
          <w:sz w:val="44"/>
          <w:szCs w:val="44"/>
        </w:rPr>
      </w:pPr>
      <w:bookmarkStart w:id="0" w:name="_Hlk44331772"/>
      <w:bookmarkStart w:id="1" w:name="_Hlk47595825"/>
    </w:p>
    <w:p>
      <w:pPr>
        <w:adjustRightInd w:val="0"/>
        <w:snapToGrid w:val="0"/>
        <w:spacing w:line="360" w:lineRule="auto"/>
        <w:ind w:firstLine="883" w:firstLineChars="200"/>
        <w:contextualSpacing/>
        <w:jc w:val="center"/>
        <w:rPr>
          <w:rFonts w:eastAsia="宋体"/>
          <w:b/>
          <w:color w:val="auto"/>
          <w:sz w:val="44"/>
          <w:szCs w:val="44"/>
        </w:rPr>
      </w:pPr>
    </w:p>
    <w:bookmarkEnd w:id="0"/>
    <w:p>
      <w:pPr>
        <w:adjustRightInd w:val="0"/>
        <w:snapToGrid w:val="0"/>
        <w:spacing w:line="360" w:lineRule="auto"/>
        <w:contextualSpacing/>
        <w:jc w:val="center"/>
        <w:rPr>
          <w:rFonts w:eastAsia="宋体"/>
          <w:b/>
          <w:bCs/>
          <w:color w:val="auto"/>
          <w:sz w:val="36"/>
          <w:szCs w:val="36"/>
        </w:rPr>
      </w:pPr>
      <w:bookmarkStart w:id="2" w:name="_Hlk147411684"/>
      <w:r>
        <w:rPr>
          <w:rFonts w:eastAsia="宋体"/>
          <w:b/>
          <w:bCs/>
          <w:color w:val="auto"/>
          <w:sz w:val="36"/>
          <w:szCs w:val="36"/>
        </w:rPr>
        <w:t>鸡西市</w:t>
      </w:r>
      <w:r>
        <w:rPr>
          <w:rFonts w:hint="eastAsia" w:eastAsia="宋体"/>
          <w:b/>
          <w:bCs/>
          <w:color w:val="auto"/>
          <w:sz w:val="36"/>
          <w:szCs w:val="36"/>
        </w:rPr>
        <w:t>麻山区石墨产业园污水处理厂二期扩建工程</w:t>
      </w:r>
      <w:bookmarkEnd w:id="2"/>
    </w:p>
    <w:p>
      <w:pPr>
        <w:adjustRightInd w:val="0"/>
        <w:snapToGrid w:val="0"/>
        <w:spacing w:line="360" w:lineRule="auto"/>
        <w:contextualSpacing/>
        <w:jc w:val="center"/>
        <w:rPr>
          <w:rFonts w:eastAsia="黑体"/>
          <w:bCs/>
          <w:color w:val="auto"/>
          <w:kern w:val="0"/>
          <w:sz w:val="72"/>
          <w:szCs w:val="72"/>
        </w:rPr>
      </w:pPr>
      <w:r>
        <w:rPr>
          <w:rFonts w:eastAsia="黑体"/>
          <w:bCs/>
          <w:color w:val="auto"/>
          <w:kern w:val="0"/>
          <w:sz w:val="72"/>
          <w:szCs w:val="72"/>
        </w:rPr>
        <w:t>水土保持方案报告表</w:t>
      </w:r>
    </w:p>
    <w:p>
      <w:pPr>
        <w:adjustRightInd w:val="0"/>
        <w:snapToGrid w:val="0"/>
        <w:spacing w:line="360" w:lineRule="auto"/>
        <w:contextualSpacing/>
        <w:jc w:val="center"/>
        <w:rPr>
          <w:rFonts w:eastAsia="宋体"/>
          <w:b/>
          <w:color w:val="auto"/>
          <w:sz w:val="36"/>
          <w:szCs w:val="36"/>
        </w:rPr>
      </w:pPr>
      <w:r>
        <w:rPr>
          <w:rFonts w:eastAsia="宋体"/>
          <w:b/>
          <w:color w:val="auto"/>
          <w:sz w:val="36"/>
          <w:szCs w:val="36"/>
        </w:rPr>
        <w:t>（</w:t>
      </w:r>
      <w:r>
        <w:rPr>
          <w:rFonts w:hint="eastAsia" w:eastAsia="宋体"/>
          <w:b/>
          <w:color w:val="auto"/>
          <w:sz w:val="36"/>
          <w:szCs w:val="36"/>
          <w:lang w:val="en-US" w:eastAsia="zh-CN"/>
        </w:rPr>
        <w:t>报批</w:t>
      </w:r>
      <w:r>
        <w:rPr>
          <w:rFonts w:eastAsia="宋体"/>
          <w:b/>
          <w:color w:val="auto"/>
          <w:sz w:val="36"/>
          <w:szCs w:val="36"/>
        </w:rPr>
        <w:t>稿）</w:t>
      </w: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rPr>
          <w:rFonts w:eastAsia="宋体"/>
          <w:b/>
          <w:color w:val="auto"/>
          <w:sz w:val="44"/>
          <w:szCs w:val="44"/>
        </w:rPr>
      </w:pPr>
    </w:p>
    <w:p>
      <w:pPr>
        <w:pStyle w:val="32"/>
        <w:contextualSpacing/>
        <w:jc w:val="center"/>
        <w:rPr>
          <w:rFonts w:eastAsia="宋体"/>
          <w:b/>
          <w:color w:val="auto"/>
          <w:sz w:val="44"/>
          <w:szCs w:val="44"/>
        </w:rPr>
      </w:pPr>
    </w:p>
    <w:p>
      <w:pPr>
        <w:pStyle w:val="10"/>
        <w:spacing w:after="0" w:line="300" w:lineRule="auto"/>
        <w:contextualSpacing/>
        <w:jc w:val="center"/>
        <w:rPr>
          <w:rFonts w:eastAsiaTheme="minorEastAsia"/>
          <w:bCs/>
          <w:color w:val="auto"/>
          <w:sz w:val="32"/>
        </w:rPr>
      </w:pPr>
      <w:r>
        <w:rPr>
          <w:rFonts w:eastAsiaTheme="minorEastAsia"/>
          <w:bCs/>
          <w:color w:val="auto"/>
          <w:sz w:val="32"/>
        </w:rPr>
        <w:t>建设单位：鸡西市麻山区住房和城乡建设局</w:t>
      </w:r>
    </w:p>
    <w:p>
      <w:pPr>
        <w:pStyle w:val="10"/>
        <w:spacing w:after="0" w:line="300" w:lineRule="auto"/>
        <w:contextualSpacing/>
        <w:jc w:val="center"/>
        <w:rPr>
          <w:rFonts w:eastAsiaTheme="minorEastAsia"/>
          <w:bCs/>
          <w:color w:val="auto"/>
          <w:sz w:val="32"/>
        </w:rPr>
      </w:pPr>
      <w:r>
        <w:rPr>
          <w:rFonts w:eastAsiaTheme="minorEastAsia"/>
          <w:bCs/>
          <w:color w:val="auto"/>
          <w:sz w:val="32"/>
        </w:rPr>
        <w:t>编制单位：</w:t>
      </w:r>
      <w:r>
        <w:rPr>
          <w:rFonts w:hint="eastAsia" w:eastAsiaTheme="minorEastAsia"/>
          <w:bCs/>
          <w:color w:val="auto"/>
          <w:sz w:val="32"/>
        </w:rPr>
        <w:t>黑龙江鑫丰智慧空间科技有限公司</w:t>
      </w:r>
    </w:p>
    <w:p>
      <w:pPr>
        <w:pStyle w:val="10"/>
        <w:spacing w:after="0" w:line="300" w:lineRule="auto"/>
        <w:contextualSpacing/>
        <w:jc w:val="center"/>
        <w:rPr>
          <w:rFonts w:eastAsiaTheme="minorEastAsia"/>
          <w:bCs/>
          <w:color w:val="auto"/>
          <w:sz w:val="32"/>
        </w:rPr>
      </w:pPr>
      <w:r>
        <w:rPr>
          <w:rFonts w:eastAsiaTheme="minorEastAsia"/>
          <w:bCs/>
          <w:color w:val="auto"/>
          <w:sz w:val="32"/>
        </w:rPr>
        <w:t>2023年9月</w:t>
      </w:r>
    </w:p>
    <w:p>
      <w:pPr>
        <w:pStyle w:val="10"/>
        <w:spacing w:after="0" w:line="300" w:lineRule="auto"/>
        <w:contextualSpacing/>
        <w:jc w:val="center"/>
        <w:rPr>
          <w:rFonts w:eastAsiaTheme="minorEastAsia"/>
          <w:bCs/>
          <w:color w:val="auto"/>
          <w:sz w:val="32"/>
        </w:rPr>
      </w:pPr>
    </w:p>
    <w:p>
      <w:pPr>
        <w:pStyle w:val="10"/>
        <w:spacing w:after="0" w:line="300" w:lineRule="auto"/>
        <w:contextualSpacing/>
        <w:rPr>
          <w:rFonts w:eastAsiaTheme="minorEastAsia"/>
          <w:bCs/>
          <w:color w:val="auto"/>
          <w:sz w:val="28"/>
          <w:szCs w:val="28"/>
        </w:rPr>
      </w:pPr>
    </w:p>
    <w:p>
      <w:pPr>
        <w:pStyle w:val="10"/>
        <w:spacing w:after="0" w:line="300" w:lineRule="auto"/>
        <w:contextualSpacing/>
        <w:rPr>
          <w:rFonts w:eastAsiaTheme="minorEastAsia"/>
          <w:bCs/>
          <w:color w:val="auto"/>
          <w:sz w:val="28"/>
          <w:szCs w:val="28"/>
        </w:rPr>
        <w:sectPr>
          <w:headerReference r:id="rId3" w:type="default"/>
          <w:pgSz w:w="11906" w:h="16838"/>
          <w:pgMar w:top="1440" w:right="1800" w:bottom="1440" w:left="1800" w:header="851" w:footer="992" w:gutter="0"/>
          <w:cols w:space="425" w:num="1"/>
          <w:docGrid w:type="lines" w:linePitch="312" w:charSpace="0"/>
        </w:sectPr>
      </w:pPr>
    </w:p>
    <w:bookmarkEnd w:id="1"/>
    <w:p>
      <w:pPr>
        <w:spacing w:line="300" w:lineRule="auto"/>
        <w:contextualSpacing/>
        <w:jc w:val="center"/>
        <w:rPr>
          <w:b/>
          <w:bCs/>
          <w:color w:val="auto"/>
          <w:szCs w:val="32"/>
        </w:rPr>
      </w:pPr>
    </w:p>
    <w:p>
      <w:pPr>
        <w:spacing w:line="300" w:lineRule="auto"/>
        <w:contextualSpacing/>
        <w:jc w:val="center"/>
        <w:rPr>
          <w:b/>
          <w:bCs/>
          <w:color w:val="auto"/>
          <w:szCs w:val="32"/>
        </w:rPr>
      </w:pPr>
    </w:p>
    <w:p>
      <w:pPr>
        <w:spacing w:line="300" w:lineRule="auto"/>
        <w:contextualSpacing/>
        <w:jc w:val="center"/>
        <w:rPr>
          <w:b/>
          <w:bCs/>
          <w:color w:val="auto"/>
          <w:szCs w:val="32"/>
        </w:rPr>
      </w:pPr>
      <w:r>
        <w:rPr>
          <w:b/>
          <w:bCs/>
          <w:color w:val="auto"/>
          <w:szCs w:val="32"/>
        </w:rPr>
        <w:t>鸡西市麻山区石墨产业园污水处理厂二期扩建工程</w:t>
      </w:r>
    </w:p>
    <w:p>
      <w:pPr>
        <w:spacing w:line="300" w:lineRule="auto"/>
        <w:contextualSpacing/>
        <w:jc w:val="center"/>
        <w:rPr>
          <w:b/>
          <w:bCs/>
          <w:color w:val="auto"/>
          <w:kern w:val="0"/>
          <w:szCs w:val="32"/>
        </w:rPr>
      </w:pPr>
      <w:r>
        <w:rPr>
          <w:b/>
          <w:bCs/>
          <w:color w:val="auto"/>
          <w:kern w:val="0"/>
          <w:szCs w:val="32"/>
        </w:rPr>
        <w:t>水土保持方案报告表</w:t>
      </w:r>
    </w:p>
    <w:p>
      <w:pPr>
        <w:spacing w:line="300" w:lineRule="auto"/>
        <w:contextualSpacing/>
        <w:jc w:val="center"/>
        <w:rPr>
          <w:b/>
          <w:bCs/>
          <w:color w:val="auto"/>
          <w:kern w:val="0"/>
          <w:szCs w:val="32"/>
        </w:rPr>
      </w:pPr>
      <w:r>
        <w:rPr>
          <w:b/>
          <w:bCs/>
          <w:color w:val="auto"/>
          <w:kern w:val="0"/>
          <w:szCs w:val="32"/>
        </w:rPr>
        <w:t>责任页</w:t>
      </w:r>
    </w:p>
    <w:p>
      <w:pPr>
        <w:pStyle w:val="32"/>
        <w:contextualSpacing/>
        <w:jc w:val="center"/>
        <w:rPr>
          <w:color w:val="auto"/>
        </w:rPr>
      </w:pPr>
      <w:r>
        <w:rPr>
          <w:color w:val="auto"/>
        </w:rPr>
        <w:t>（</w:t>
      </w:r>
      <w:r>
        <w:rPr>
          <w:rFonts w:hint="eastAsia"/>
          <w:color w:val="auto"/>
        </w:rPr>
        <w:t>黑龙江鑫丰智慧空间科技有限公司</w:t>
      </w:r>
      <w:r>
        <w:rPr>
          <w:color w:val="auto"/>
        </w:rPr>
        <w:t>）</w:t>
      </w:r>
    </w:p>
    <w:p>
      <w:pPr>
        <w:pStyle w:val="32"/>
        <w:ind w:firstLine="0"/>
        <w:contextualSpacing/>
        <w:rPr>
          <w:color w:val="auto"/>
        </w:rPr>
      </w:pPr>
    </w:p>
    <w:p>
      <w:pPr>
        <w:pStyle w:val="32"/>
        <w:ind w:firstLine="0"/>
        <w:contextualSpacing/>
        <w:rPr>
          <w:color w:val="auto"/>
        </w:rPr>
      </w:pPr>
    </w:p>
    <w:p>
      <w:pPr>
        <w:adjustRightInd w:val="0"/>
        <w:snapToGrid w:val="0"/>
        <w:spacing w:line="480" w:lineRule="auto"/>
        <w:ind w:firstLine="280" w:firstLineChars="100"/>
        <w:contextualSpacing/>
        <w:rPr>
          <w:color w:val="auto"/>
          <w:sz w:val="28"/>
          <w:szCs w:val="28"/>
        </w:rPr>
      </w:pPr>
      <w:bookmarkStart w:id="3" w:name="_Hlk89775614"/>
      <w:r>
        <w:rPr>
          <w:color w:val="auto"/>
          <w:sz w:val="28"/>
          <w:szCs w:val="28"/>
        </w:rPr>
        <w:t>批</w:t>
      </w:r>
      <w:r>
        <w:rPr>
          <w:color w:val="auto"/>
          <w:sz w:val="28"/>
          <w:szCs w:val="28"/>
        </w:rPr>
        <w:tab/>
      </w:r>
      <w:r>
        <w:rPr>
          <w:color w:val="auto"/>
          <w:sz w:val="28"/>
          <w:szCs w:val="28"/>
        </w:rPr>
        <w:t>准：纪  莹</w:t>
      </w:r>
      <w:r>
        <w:rPr>
          <w:color w:val="auto"/>
          <w:sz w:val="28"/>
          <w:szCs w:val="28"/>
        </w:rPr>
        <w:tab/>
      </w:r>
      <w:r>
        <w:rPr>
          <w:color w:val="auto"/>
          <w:sz w:val="28"/>
          <w:szCs w:val="28"/>
        </w:rPr>
        <w:t>（总经理）</w:t>
      </w:r>
    </w:p>
    <w:p>
      <w:pPr>
        <w:adjustRightInd w:val="0"/>
        <w:snapToGrid w:val="0"/>
        <w:spacing w:line="480" w:lineRule="auto"/>
        <w:ind w:firstLine="280" w:firstLineChars="100"/>
        <w:contextualSpacing/>
        <w:rPr>
          <w:color w:val="auto"/>
          <w:sz w:val="28"/>
          <w:szCs w:val="28"/>
        </w:rPr>
      </w:pPr>
      <w:r>
        <w:rPr>
          <w:color w:val="auto"/>
          <w:sz w:val="28"/>
          <w:szCs w:val="28"/>
        </w:rPr>
        <w:t>核</w:t>
      </w:r>
      <w:r>
        <w:rPr>
          <w:color w:val="auto"/>
          <w:sz w:val="28"/>
          <w:szCs w:val="28"/>
        </w:rPr>
        <w:tab/>
      </w:r>
      <w:r>
        <w:rPr>
          <w:color w:val="auto"/>
          <w:sz w:val="28"/>
          <w:szCs w:val="28"/>
        </w:rPr>
        <w:t>定：纪  莹</w:t>
      </w:r>
      <w:r>
        <w:rPr>
          <w:color w:val="auto"/>
          <w:sz w:val="28"/>
          <w:szCs w:val="28"/>
        </w:rPr>
        <w:tab/>
      </w:r>
      <w:r>
        <w:rPr>
          <w:color w:val="auto"/>
          <w:sz w:val="28"/>
          <w:szCs w:val="28"/>
        </w:rPr>
        <w:t>（总经理）</w:t>
      </w:r>
    </w:p>
    <w:p>
      <w:pPr>
        <w:adjustRightInd w:val="0"/>
        <w:snapToGrid w:val="0"/>
        <w:spacing w:line="480" w:lineRule="auto"/>
        <w:ind w:firstLine="280" w:firstLineChars="100"/>
        <w:contextualSpacing/>
        <w:rPr>
          <w:color w:val="auto"/>
          <w:sz w:val="28"/>
          <w:szCs w:val="28"/>
        </w:rPr>
      </w:pPr>
      <w:r>
        <w:rPr>
          <w:color w:val="auto"/>
          <w:sz w:val="28"/>
          <w:szCs w:val="28"/>
        </w:rPr>
        <w:t>审</w:t>
      </w:r>
      <w:r>
        <w:rPr>
          <w:color w:val="auto"/>
          <w:sz w:val="28"/>
          <w:szCs w:val="28"/>
        </w:rPr>
        <w:tab/>
      </w:r>
      <w:r>
        <w:rPr>
          <w:color w:val="auto"/>
          <w:sz w:val="28"/>
          <w:szCs w:val="28"/>
        </w:rPr>
        <w:t>查：刘会臣</w:t>
      </w:r>
      <w:r>
        <w:rPr>
          <w:color w:val="auto"/>
          <w:sz w:val="28"/>
          <w:szCs w:val="28"/>
        </w:rPr>
        <w:tab/>
      </w:r>
      <w:r>
        <w:rPr>
          <w:color w:val="auto"/>
          <w:sz w:val="28"/>
          <w:szCs w:val="28"/>
        </w:rPr>
        <w:t>（高级工程师）</w:t>
      </w:r>
    </w:p>
    <w:p>
      <w:pPr>
        <w:adjustRightInd w:val="0"/>
        <w:snapToGrid w:val="0"/>
        <w:spacing w:line="480" w:lineRule="auto"/>
        <w:ind w:firstLine="280" w:firstLineChars="100"/>
        <w:contextualSpacing/>
        <w:rPr>
          <w:color w:val="auto"/>
          <w:sz w:val="28"/>
          <w:szCs w:val="28"/>
        </w:rPr>
      </w:pPr>
      <w:r>
        <w:rPr>
          <w:color w:val="auto"/>
          <w:sz w:val="28"/>
          <w:szCs w:val="28"/>
        </w:rPr>
        <w:t>校</w:t>
      </w:r>
      <w:r>
        <w:rPr>
          <w:color w:val="auto"/>
          <w:sz w:val="28"/>
          <w:szCs w:val="28"/>
        </w:rPr>
        <w:tab/>
      </w:r>
      <w:r>
        <w:rPr>
          <w:color w:val="auto"/>
          <w:sz w:val="28"/>
          <w:szCs w:val="28"/>
        </w:rPr>
        <w:t>核：葛德斌</w:t>
      </w:r>
      <w:r>
        <w:rPr>
          <w:color w:val="auto"/>
          <w:sz w:val="28"/>
          <w:szCs w:val="28"/>
        </w:rPr>
        <w:tab/>
      </w:r>
      <w:r>
        <w:rPr>
          <w:color w:val="auto"/>
          <w:sz w:val="28"/>
          <w:szCs w:val="28"/>
        </w:rPr>
        <w:t>（高级工程师）</w:t>
      </w:r>
    </w:p>
    <w:p>
      <w:pPr>
        <w:adjustRightInd w:val="0"/>
        <w:snapToGrid w:val="0"/>
        <w:spacing w:line="480" w:lineRule="auto"/>
        <w:ind w:firstLine="280" w:firstLineChars="100"/>
        <w:contextualSpacing/>
        <w:rPr>
          <w:color w:val="auto"/>
          <w:sz w:val="28"/>
          <w:szCs w:val="28"/>
        </w:rPr>
      </w:pPr>
      <w:r>
        <w:rPr>
          <w:color w:val="auto"/>
          <w:sz w:val="28"/>
          <w:szCs w:val="28"/>
        </w:rPr>
        <w:t>项目负责人：孙</w:t>
      </w:r>
      <w:r>
        <w:rPr>
          <w:color w:val="auto"/>
          <w:sz w:val="28"/>
          <w:szCs w:val="28"/>
        </w:rPr>
        <w:tab/>
      </w:r>
      <w:r>
        <w:rPr>
          <w:color w:val="auto"/>
          <w:sz w:val="28"/>
          <w:szCs w:val="28"/>
        </w:rPr>
        <w:t>刚</w:t>
      </w:r>
      <w:r>
        <w:rPr>
          <w:color w:val="auto"/>
          <w:sz w:val="28"/>
          <w:szCs w:val="28"/>
        </w:rPr>
        <w:tab/>
      </w:r>
      <w:r>
        <w:rPr>
          <w:color w:val="auto"/>
          <w:sz w:val="28"/>
          <w:szCs w:val="28"/>
        </w:rPr>
        <w:t>（工程师）</w:t>
      </w:r>
    </w:p>
    <w:p>
      <w:pPr>
        <w:adjustRightInd w:val="0"/>
        <w:snapToGrid w:val="0"/>
        <w:spacing w:line="480" w:lineRule="auto"/>
        <w:ind w:firstLine="280" w:firstLineChars="100"/>
        <w:contextualSpacing/>
        <w:rPr>
          <w:color w:val="auto"/>
          <w:sz w:val="28"/>
          <w:szCs w:val="28"/>
        </w:rPr>
      </w:pPr>
      <w:r>
        <w:rPr>
          <w:color w:val="auto"/>
          <w:sz w:val="28"/>
          <w:szCs w:val="28"/>
        </w:rPr>
        <w:t>编</w:t>
      </w:r>
      <w:r>
        <w:rPr>
          <w:color w:val="auto"/>
          <w:sz w:val="28"/>
          <w:szCs w:val="28"/>
        </w:rPr>
        <w:tab/>
      </w:r>
      <w:r>
        <w:rPr>
          <w:color w:val="auto"/>
          <w:sz w:val="28"/>
          <w:szCs w:val="28"/>
        </w:rPr>
        <w:t>写：孙  刚</w:t>
      </w:r>
      <w:r>
        <w:rPr>
          <w:color w:val="auto"/>
          <w:sz w:val="28"/>
          <w:szCs w:val="28"/>
        </w:rPr>
        <w:tab/>
      </w:r>
      <w:r>
        <w:rPr>
          <w:color w:val="auto"/>
          <w:sz w:val="28"/>
          <w:szCs w:val="28"/>
        </w:rPr>
        <w:t>（工程师）</w:t>
      </w:r>
      <w:r>
        <w:rPr>
          <w:rFonts w:hint="eastAsia"/>
          <w:color w:val="auto"/>
          <w:sz w:val="28"/>
          <w:szCs w:val="28"/>
        </w:rPr>
        <w:t>全文</w:t>
      </w:r>
      <w:r>
        <w:rPr>
          <w:color w:val="auto"/>
          <w:sz w:val="28"/>
          <w:szCs w:val="28"/>
        </w:rPr>
        <w:t xml:space="preserve">、附件 </w:t>
      </w:r>
    </w:p>
    <w:p>
      <w:pPr>
        <w:adjustRightInd w:val="0"/>
        <w:snapToGrid w:val="0"/>
        <w:spacing w:line="480" w:lineRule="auto"/>
        <w:ind w:firstLine="1400" w:firstLineChars="500"/>
        <w:contextualSpacing/>
        <w:rPr>
          <w:color w:val="auto"/>
          <w:sz w:val="28"/>
          <w:szCs w:val="28"/>
        </w:rPr>
      </w:pPr>
      <w:r>
        <w:rPr>
          <w:color w:val="auto"/>
          <w:sz w:val="28"/>
          <w:szCs w:val="28"/>
        </w:rPr>
        <w:t>刘会臣</w:t>
      </w:r>
      <w:r>
        <w:rPr>
          <w:color w:val="auto"/>
          <w:sz w:val="28"/>
          <w:szCs w:val="28"/>
        </w:rPr>
        <w:tab/>
      </w:r>
      <w:r>
        <w:rPr>
          <w:color w:val="auto"/>
          <w:sz w:val="28"/>
          <w:szCs w:val="28"/>
        </w:rPr>
        <w:t>（高级工程师）附图</w:t>
      </w:r>
    </w:p>
    <w:bookmarkEnd w:id="3"/>
    <w:p>
      <w:pPr>
        <w:pStyle w:val="32"/>
        <w:contextualSpacing/>
        <w:rPr>
          <w:color w:val="auto"/>
        </w:rPr>
      </w:pPr>
    </w:p>
    <w:p>
      <w:pPr>
        <w:spacing w:line="720" w:lineRule="auto"/>
        <w:contextualSpacing/>
        <w:jc w:val="center"/>
        <w:rPr>
          <w:color w:val="auto"/>
          <w:sz w:val="28"/>
          <w:szCs w:val="28"/>
        </w:rPr>
      </w:pPr>
    </w:p>
    <w:p>
      <w:pPr>
        <w:spacing w:line="300" w:lineRule="auto"/>
        <w:contextualSpacing/>
        <w:jc w:val="center"/>
        <w:rPr>
          <w:rFonts w:eastAsia="黑体"/>
          <w:color w:val="auto"/>
        </w:rPr>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pPr>
    </w:p>
    <w:p>
      <w:pPr>
        <w:spacing w:line="300" w:lineRule="auto"/>
        <w:contextualSpacing/>
        <w:jc w:val="center"/>
        <w:rPr>
          <w:rFonts w:eastAsia="黑体"/>
          <w:color w:val="auto"/>
        </w:rPr>
      </w:pPr>
      <w:r>
        <w:rPr>
          <w:rFonts w:eastAsia="黑体"/>
          <w:color w:val="auto"/>
        </w:rPr>
        <w:t>目 录</w:t>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TOC \o "1-2" \u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附件</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_Toc145530034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 综合说明</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_Toc145530035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1.1 项目简况</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_Toc145530036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1.2 编制依据</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_Toc145530037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1.3 设计水平年</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_Toc145530038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1.4 水土流失防治责任范围</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_Toc145530039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1.5 水土流失防治目标</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_Toc145530040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1.6项目水土保持评价结论</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_Toc145530041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6</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1.7 水土流失预测结果</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_Toc145530042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8</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1.8 水土保持措施布设成果</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_Toc145530043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8</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1.9水土保持投资及效益分析成果</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_Toc145530044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9</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1.10结论</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_Toc145530045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9</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 项目概况</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_Toc145530046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2.1 项目组成及工程布置</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_Toc145530047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2.2施工组织</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_Toc145530048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15</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2.3工程占地</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_Toc145530049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17</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2.4土石方平衡</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_Toc145530050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18</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2.5拆迁(移民)安置与专项设施改(迁)建</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_Toc145530051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19</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2.6施工进度</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_Toc145530052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2.7自然概况</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_Toc145530053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20</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3 项目水土保持评价</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_Toc145530054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23</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3.1主体工程选址水土保持评价</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_Toc145530055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23</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3.2建设方案与布局水土保持评价</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_Toc145530056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24</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3.3主体工程设计中水土保持措施界定</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_Toc145530057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27</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4 水土流失分析与预测</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_Toc145530058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29</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4.1水土流失现状</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_Toc145530059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29</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4.2水土流失影响因素分析</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_Toc145530060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29</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4.3土壤流失量预测</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_Toc145530061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30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4.4水土流失危害分析与评价</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_Toc145530062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34</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 水土保持措施</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_Toc145530063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36</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5.1防治区划分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_Toc145530064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36</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5.2措施总体布局</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_Toc145530065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36</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5.3分区措施布设</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_Toc145530066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38</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5.4水土保持措施及工程量</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_Toc145530067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5.5施工要求</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_Toc145530068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41</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5.6水土保持措施进度安排</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_Toc145530069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42</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6 水土保持投资估算及效益分析</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_Toc145530070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44</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6.1投资估算</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_Toc145530071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44</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6.2效益分析</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_Toc145530072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49</w:t>
      </w:r>
      <w:r>
        <w:rPr>
          <w:rFonts w:ascii="Times New Roman" w:hAnsi="Times New Roman" w:eastAsia="仿宋_GB2312" w:cs="Times New Roman"/>
          <w:color w:val="auto"/>
          <w:sz w:val="28"/>
          <w:szCs w:val="28"/>
        </w:rPr>
        <w:fldChar w:fldCharType="end"/>
      </w:r>
    </w:p>
    <w:p>
      <w:pPr>
        <w:pStyle w:val="19"/>
        <w:tabs>
          <w:tab w:val="right" w:leader="dot" w:pos="8296"/>
        </w:tabs>
        <w:spacing w:line="540" w:lineRule="exact"/>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 水土保持管理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_Toc145530073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7.1 组织管理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_Toc145530074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50</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7.2 水土保持监理</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_Toc145530075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51</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7.3水土保持监测</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_Toc145530076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52</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7.4水土保持施工</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_Toc145530077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52</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7.5 水土保持设施验收</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_Toc145530078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53</w:t>
      </w:r>
      <w:r>
        <w:rPr>
          <w:rFonts w:ascii="Times New Roman" w:hAnsi="Times New Roman" w:eastAsia="仿宋_GB2312" w:cs="Times New Roman"/>
          <w:color w:val="auto"/>
          <w:sz w:val="28"/>
          <w:szCs w:val="28"/>
        </w:rPr>
        <w:fldChar w:fldCharType="end"/>
      </w:r>
    </w:p>
    <w:p>
      <w:pPr>
        <w:pStyle w:val="21"/>
        <w:tabs>
          <w:tab w:val="right" w:leader="dot" w:pos="8296"/>
        </w:tabs>
        <w:spacing w:line="540" w:lineRule="exact"/>
        <w:ind w:left="640"/>
        <w:rPr>
          <w:rFonts w:ascii="Times New Roman" w:hAnsi="Times New Roman" w:eastAsia="仿宋_GB2312" w:cs="Times New Roman"/>
          <w:color w:val="auto"/>
          <w:sz w:val="28"/>
          <w:szCs w:val="28"/>
          <w14:ligatures w14:val="standardContextual"/>
        </w:rPr>
      </w:pPr>
      <w:r>
        <w:rPr>
          <w:rFonts w:ascii="Times New Roman" w:hAnsi="Times New Roman" w:eastAsia="仿宋_GB2312" w:cs="Times New Roman"/>
          <w:color w:val="auto"/>
          <w:sz w:val="28"/>
          <w:szCs w:val="28"/>
        </w:rPr>
        <w:t>7.6 后续设计</w:t>
      </w:r>
      <w:r>
        <w:rPr>
          <w:rFonts w:ascii="Times New Roman" w:hAnsi="Times New Roman" w:eastAsia="仿宋_GB2312" w:cs="Times New Roman"/>
          <w:color w:val="auto"/>
          <w:sz w:val="28"/>
          <w:szCs w:val="28"/>
        </w:rPr>
        <w:tab/>
      </w:r>
      <w:r>
        <w:rPr>
          <w:rFonts w:ascii="Times New Roman" w:hAnsi="Times New Roman" w:eastAsia="仿宋_GB2312" w:cs="Times New Roman"/>
          <w:color w:val="auto"/>
          <w:sz w:val="28"/>
          <w:szCs w:val="28"/>
        </w:rPr>
        <w:fldChar w:fldCharType="begin"/>
      </w:r>
      <w:r>
        <w:rPr>
          <w:rFonts w:ascii="Times New Roman" w:hAnsi="Times New Roman" w:eastAsia="仿宋_GB2312" w:cs="Times New Roman"/>
          <w:color w:val="auto"/>
          <w:sz w:val="28"/>
          <w:szCs w:val="28"/>
        </w:rPr>
        <w:instrText xml:space="preserve"> PAGEREF _Toc145530079 \h </w:instrText>
      </w:r>
      <w:r>
        <w:rPr>
          <w:rFonts w:ascii="Times New Roman" w:hAnsi="Times New Roman" w:eastAsia="仿宋_GB2312" w:cs="Times New Roman"/>
          <w:color w:val="auto"/>
          <w:sz w:val="28"/>
          <w:szCs w:val="28"/>
        </w:rPr>
        <w:fldChar w:fldCharType="separate"/>
      </w:r>
      <w:r>
        <w:rPr>
          <w:rFonts w:ascii="Times New Roman" w:hAnsi="Times New Roman" w:eastAsia="仿宋_GB2312" w:cs="Times New Roman"/>
          <w:color w:val="auto"/>
          <w:sz w:val="28"/>
          <w:szCs w:val="28"/>
        </w:rPr>
        <w:t>54</w:t>
      </w:r>
      <w:r>
        <w:rPr>
          <w:rFonts w:ascii="Times New Roman" w:hAnsi="Times New Roman" w:eastAsia="仿宋_GB2312" w:cs="Times New Roman"/>
          <w:color w:val="auto"/>
          <w:sz w:val="28"/>
          <w:szCs w:val="28"/>
        </w:rPr>
        <w:fldChar w:fldCharType="end"/>
      </w:r>
    </w:p>
    <w:p>
      <w:pPr>
        <w:pStyle w:val="19"/>
        <w:tabs>
          <w:tab w:val="right" w:leader="dot" w:pos="8296"/>
        </w:tabs>
        <w:adjustRightInd w:val="0"/>
        <w:snapToGrid w:val="0"/>
        <w:spacing w:line="540" w:lineRule="exact"/>
        <w:contextualSpacing/>
        <w:rPr>
          <w:rFonts w:ascii="Times New Roman" w:hAnsi="Times New Roman" w:eastAsia="仿宋_GB2312" w:cs="Times New Roman"/>
          <w:color w:val="auto"/>
          <w:sz w:val="28"/>
          <w:szCs w:val="28"/>
        </w:rPr>
        <w:sectPr>
          <w:headerReference r:id="rId6" w:type="default"/>
          <w:footerReference r:id="rId7"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仿宋_GB2312" w:cs="Times New Roman"/>
          <w:color w:val="auto"/>
          <w:sz w:val="28"/>
          <w:szCs w:val="28"/>
        </w:rPr>
        <w:fldChar w:fldCharType="end"/>
      </w:r>
    </w:p>
    <w:p>
      <w:pPr>
        <w:pStyle w:val="19"/>
        <w:tabs>
          <w:tab w:val="right" w:leader="dot" w:pos="8296"/>
        </w:tabs>
        <w:adjustRightInd w:val="0"/>
        <w:snapToGrid w:val="0"/>
        <w:spacing w:line="360" w:lineRule="auto"/>
        <w:contextualSpacing/>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附表：</w:t>
      </w:r>
    </w:p>
    <w:p>
      <w:pPr>
        <w:adjustRightInd w:val="0"/>
        <w:snapToGrid w:val="0"/>
        <w:spacing w:line="360" w:lineRule="auto"/>
        <w:ind w:firstLine="560" w:firstLineChars="200"/>
        <w:contextualSpacing/>
        <w:rPr>
          <w:color w:val="auto"/>
          <w:sz w:val="28"/>
          <w:szCs w:val="28"/>
        </w:rPr>
      </w:pPr>
      <w:r>
        <w:rPr>
          <w:color w:val="auto"/>
          <w:sz w:val="28"/>
          <w:szCs w:val="28"/>
        </w:rPr>
        <w:t>单价分析表</w:t>
      </w:r>
    </w:p>
    <w:p>
      <w:pPr>
        <w:adjustRightInd w:val="0"/>
        <w:snapToGrid w:val="0"/>
        <w:spacing w:line="360" w:lineRule="auto"/>
        <w:contextualSpacing/>
        <w:rPr>
          <w:b/>
          <w:color w:val="auto"/>
          <w:sz w:val="28"/>
          <w:szCs w:val="28"/>
        </w:rPr>
      </w:pPr>
      <w:r>
        <w:rPr>
          <w:b/>
          <w:color w:val="auto"/>
          <w:sz w:val="28"/>
          <w:szCs w:val="28"/>
        </w:rPr>
        <w:t>附件：</w:t>
      </w:r>
    </w:p>
    <w:p>
      <w:pPr>
        <w:adjustRightInd w:val="0"/>
        <w:snapToGrid w:val="0"/>
        <w:spacing w:line="360" w:lineRule="auto"/>
        <w:ind w:left="560"/>
        <w:contextualSpacing/>
        <w:rPr>
          <w:color w:val="auto"/>
          <w:sz w:val="28"/>
          <w:szCs w:val="28"/>
        </w:rPr>
      </w:pPr>
      <w:r>
        <w:rPr>
          <w:color w:val="auto"/>
          <w:sz w:val="28"/>
          <w:szCs w:val="28"/>
        </w:rPr>
        <w:t>1、</w:t>
      </w:r>
      <w:r>
        <w:rPr>
          <w:rFonts w:hint="eastAsia"/>
          <w:color w:val="auto"/>
          <w:sz w:val="28"/>
          <w:szCs w:val="28"/>
        </w:rPr>
        <w:t>初设批复</w:t>
      </w:r>
    </w:p>
    <w:p>
      <w:pPr>
        <w:adjustRightInd w:val="0"/>
        <w:snapToGrid w:val="0"/>
        <w:spacing w:line="360" w:lineRule="auto"/>
        <w:ind w:left="560"/>
        <w:contextualSpacing/>
        <w:rPr>
          <w:color w:val="auto"/>
          <w:sz w:val="28"/>
          <w:szCs w:val="28"/>
        </w:rPr>
      </w:pPr>
      <w:r>
        <w:rPr>
          <w:rFonts w:hint="eastAsia"/>
          <w:color w:val="auto"/>
          <w:sz w:val="28"/>
          <w:szCs w:val="28"/>
        </w:rPr>
        <w:t>2、限期补办水行政许可手续通知书</w:t>
      </w:r>
    </w:p>
    <w:p>
      <w:pPr>
        <w:adjustRightInd w:val="0"/>
        <w:snapToGrid w:val="0"/>
        <w:spacing w:line="360" w:lineRule="auto"/>
        <w:ind w:left="560"/>
        <w:contextualSpacing/>
        <w:rPr>
          <w:color w:val="auto"/>
          <w:sz w:val="28"/>
          <w:szCs w:val="28"/>
        </w:rPr>
      </w:pPr>
      <w:r>
        <w:rPr>
          <w:rFonts w:hint="eastAsia"/>
          <w:color w:val="auto"/>
          <w:sz w:val="28"/>
          <w:szCs w:val="28"/>
        </w:rPr>
        <w:t>3、建设用地规划许可证</w:t>
      </w:r>
    </w:p>
    <w:p>
      <w:pPr>
        <w:adjustRightInd w:val="0"/>
        <w:snapToGrid w:val="0"/>
        <w:spacing w:line="360" w:lineRule="auto"/>
        <w:ind w:left="560"/>
        <w:contextualSpacing/>
        <w:rPr>
          <w:color w:val="auto"/>
          <w:sz w:val="28"/>
          <w:szCs w:val="28"/>
        </w:rPr>
      </w:pPr>
      <w:r>
        <w:rPr>
          <w:rFonts w:hint="eastAsia"/>
          <w:color w:val="auto"/>
          <w:sz w:val="28"/>
          <w:szCs w:val="28"/>
        </w:rPr>
        <w:t>4、建设工程规划许可证</w:t>
      </w:r>
    </w:p>
    <w:p>
      <w:pPr>
        <w:adjustRightInd w:val="0"/>
        <w:snapToGrid w:val="0"/>
        <w:spacing w:line="360" w:lineRule="auto"/>
        <w:ind w:left="560"/>
        <w:contextualSpacing/>
        <w:rPr>
          <w:color w:val="auto"/>
          <w:sz w:val="28"/>
          <w:szCs w:val="28"/>
        </w:rPr>
      </w:pPr>
      <w:r>
        <w:rPr>
          <w:color w:val="auto"/>
          <w:sz w:val="28"/>
          <w:szCs w:val="28"/>
        </w:rPr>
        <w:t>5</w:t>
      </w:r>
      <w:r>
        <w:rPr>
          <w:rFonts w:hint="eastAsia"/>
          <w:color w:val="auto"/>
          <w:sz w:val="28"/>
          <w:szCs w:val="28"/>
        </w:rPr>
        <w:t>、委托书</w:t>
      </w:r>
    </w:p>
    <w:p>
      <w:pPr>
        <w:adjustRightInd w:val="0"/>
        <w:snapToGrid w:val="0"/>
        <w:spacing w:line="360" w:lineRule="auto"/>
        <w:contextualSpacing/>
        <w:rPr>
          <w:color w:val="auto"/>
          <w:sz w:val="28"/>
          <w:szCs w:val="28"/>
        </w:rPr>
      </w:pPr>
      <w:r>
        <w:rPr>
          <w:b/>
          <w:color w:val="auto"/>
          <w:sz w:val="28"/>
          <w:szCs w:val="28"/>
        </w:rPr>
        <w:t>附图：</w:t>
      </w:r>
    </w:p>
    <w:p>
      <w:pPr>
        <w:adjustRightInd w:val="0"/>
        <w:snapToGrid w:val="0"/>
        <w:spacing w:line="360" w:lineRule="auto"/>
        <w:ind w:left="480" w:leftChars="150"/>
        <w:contextualSpacing/>
        <w:rPr>
          <w:color w:val="auto"/>
          <w:sz w:val="28"/>
          <w:szCs w:val="28"/>
        </w:rPr>
      </w:pPr>
      <w:r>
        <w:rPr>
          <w:color w:val="auto"/>
          <w:sz w:val="28"/>
          <w:szCs w:val="28"/>
        </w:rPr>
        <w:t>1、项目地理位置图</w:t>
      </w:r>
    </w:p>
    <w:p>
      <w:pPr>
        <w:adjustRightInd w:val="0"/>
        <w:snapToGrid w:val="0"/>
        <w:spacing w:line="360" w:lineRule="auto"/>
        <w:ind w:left="480" w:leftChars="150"/>
        <w:contextualSpacing/>
        <w:rPr>
          <w:color w:val="auto"/>
          <w:sz w:val="28"/>
          <w:szCs w:val="28"/>
        </w:rPr>
      </w:pPr>
      <w:r>
        <w:rPr>
          <w:color w:val="auto"/>
          <w:sz w:val="28"/>
          <w:szCs w:val="28"/>
        </w:rPr>
        <w:t>2、项目总体布置图</w:t>
      </w:r>
    </w:p>
    <w:p>
      <w:pPr>
        <w:adjustRightInd w:val="0"/>
        <w:snapToGrid w:val="0"/>
        <w:spacing w:line="360" w:lineRule="auto"/>
        <w:ind w:left="480" w:leftChars="150"/>
        <w:contextualSpacing/>
        <w:rPr>
          <w:color w:val="auto"/>
          <w:sz w:val="28"/>
          <w:szCs w:val="28"/>
        </w:rPr>
      </w:pPr>
      <w:r>
        <w:rPr>
          <w:color w:val="auto"/>
          <w:sz w:val="28"/>
          <w:szCs w:val="28"/>
        </w:rPr>
        <w:t>3、</w:t>
      </w:r>
      <w:r>
        <w:rPr>
          <w:rFonts w:hint="eastAsia"/>
          <w:color w:val="auto"/>
          <w:sz w:val="28"/>
          <w:szCs w:val="28"/>
        </w:rPr>
        <w:t>厂区防治措施布局图</w:t>
      </w:r>
    </w:p>
    <w:p>
      <w:pPr>
        <w:adjustRightInd w:val="0"/>
        <w:snapToGrid w:val="0"/>
        <w:spacing w:line="360" w:lineRule="auto"/>
        <w:ind w:left="480" w:leftChars="150"/>
        <w:contextualSpacing/>
        <w:rPr>
          <w:color w:val="auto"/>
          <w:sz w:val="28"/>
          <w:szCs w:val="28"/>
        </w:rPr>
      </w:pPr>
      <w:r>
        <w:rPr>
          <w:color w:val="auto"/>
          <w:sz w:val="28"/>
          <w:szCs w:val="28"/>
        </w:rPr>
        <w:t>4、</w:t>
      </w:r>
      <w:r>
        <w:rPr>
          <w:rFonts w:hint="eastAsia"/>
          <w:color w:val="auto"/>
          <w:sz w:val="28"/>
          <w:szCs w:val="28"/>
        </w:rPr>
        <w:t>管网工程施工断面防治措施典型设计图</w:t>
      </w:r>
    </w:p>
    <w:p>
      <w:pPr>
        <w:adjustRightInd w:val="0"/>
        <w:snapToGrid w:val="0"/>
        <w:spacing w:line="360" w:lineRule="auto"/>
        <w:ind w:left="480" w:leftChars="150"/>
        <w:contextualSpacing/>
        <w:rPr>
          <w:color w:val="auto"/>
          <w:sz w:val="28"/>
          <w:szCs w:val="28"/>
        </w:rPr>
      </w:pPr>
      <w:r>
        <w:rPr>
          <w:color w:val="auto"/>
          <w:sz w:val="28"/>
          <w:szCs w:val="28"/>
        </w:rPr>
        <w:t>5、</w:t>
      </w:r>
      <w:r>
        <w:rPr>
          <w:rFonts w:hint="eastAsia"/>
          <w:color w:val="auto"/>
          <w:sz w:val="28"/>
          <w:szCs w:val="28"/>
        </w:rPr>
        <w:t>临时苫盖典型设计图</w:t>
      </w: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adjustRightInd w:val="0"/>
        <w:snapToGrid w:val="0"/>
        <w:spacing w:line="360" w:lineRule="auto"/>
        <w:ind w:left="480" w:leftChars="150"/>
        <w:contextualSpacing/>
        <w:rPr>
          <w:color w:val="auto"/>
          <w:sz w:val="28"/>
          <w:szCs w:val="28"/>
        </w:rPr>
      </w:pPr>
    </w:p>
    <w:p>
      <w:pPr>
        <w:spacing w:line="300" w:lineRule="auto"/>
        <w:contextualSpacing/>
        <w:jc w:val="center"/>
        <w:rPr>
          <w:b/>
          <w:bCs/>
          <w:color w:val="auto"/>
          <w:sz w:val="21"/>
          <w:szCs w:val="21"/>
        </w:rPr>
      </w:pPr>
      <w:r>
        <w:rPr>
          <w:b/>
          <w:bCs/>
          <w:color w:val="auto"/>
          <w:sz w:val="21"/>
          <w:szCs w:val="21"/>
        </w:rPr>
        <w:t>鸡西市麻山区石墨产业园区污水处理厂二期扩建工程水土保持方案报告表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81"/>
        <w:gridCol w:w="706"/>
        <w:gridCol w:w="989"/>
        <w:gridCol w:w="148"/>
        <w:gridCol w:w="145"/>
        <w:gridCol w:w="141"/>
        <w:gridCol w:w="850"/>
        <w:gridCol w:w="879"/>
        <w:gridCol w:w="252"/>
        <w:gridCol w:w="706"/>
        <w:gridCol w:w="769"/>
        <w:gridCol w:w="407"/>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restart"/>
            <w:shd w:val="clear" w:color="auto" w:fill="auto"/>
            <w:noWrap/>
            <w:vAlign w:val="center"/>
          </w:tcPr>
          <w:p>
            <w:pPr>
              <w:spacing w:line="240" w:lineRule="exact"/>
              <w:contextualSpacing/>
              <w:jc w:val="center"/>
              <w:rPr>
                <w:color w:val="auto"/>
                <w:sz w:val="21"/>
                <w:szCs w:val="21"/>
              </w:rPr>
            </w:pPr>
            <w:r>
              <w:rPr>
                <w:color w:val="auto"/>
                <w:sz w:val="21"/>
                <w:szCs w:val="21"/>
              </w:rPr>
              <w:t>项目</w:t>
            </w:r>
          </w:p>
          <w:p>
            <w:pPr>
              <w:spacing w:line="240" w:lineRule="exact"/>
              <w:contextualSpacing/>
              <w:jc w:val="center"/>
              <w:rPr>
                <w:color w:val="auto"/>
                <w:sz w:val="21"/>
                <w:szCs w:val="21"/>
              </w:rPr>
            </w:pPr>
            <w:r>
              <w:rPr>
                <w:color w:val="auto"/>
                <w:sz w:val="21"/>
                <w:szCs w:val="21"/>
              </w:rPr>
              <w:t>概况</w:t>
            </w:r>
          </w:p>
        </w:tc>
        <w:tc>
          <w:tcPr>
            <w:tcW w:w="124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位置</w:t>
            </w:r>
          </w:p>
        </w:tc>
        <w:tc>
          <w:tcPr>
            <w:tcW w:w="3191" w:type="pct"/>
            <w:gridSpan w:val="9"/>
            <w:shd w:val="clear" w:color="auto" w:fill="auto"/>
            <w:noWrap/>
            <w:vAlign w:val="center"/>
          </w:tcPr>
          <w:p>
            <w:pPr>
              <w:spacing w:line="240" w:lineRule="exact"/>
              <w:contextualSpacing/>
              <w:jc w:val="left"/>
              <w:rPr>
                <w:color w:val="auto"/>
                <w:sz w:val="21"/>
                <w:szCs w:val="21"/>
              </w:rPr>
            </w:pPr>
            <w:r>
              <w:rPr>
                <w:color w:val="auto"/>
                <w:sz w:val="21"/>
                <w:szCs w:val="21"/>
              </w:rPr>
              <w:t>项目位于位于黑龙江省</w:t>
            </w:r>
            <w:r>
              <w:rPr>
                <w:rFonts w:hint="eastAsia"/>
                <w:color w:val="auto"/>
                <w:sz w:val="21"/>
                <w:szCs w:val="21"/>
              </w:rPr>
              <w:t>鸡西市麻山区石墨产业园区一期污水处理厂西侧，北侧为园区规划七路和方虎公路，东侧为规划三街。</w:t>
            </w:r>
            <w:r>
              <w:rPr>
                <w:color w:val="auto"/>
                <w:sz w:val="21"/>
                <w:szCs w:val="21"/>
              </w:rPr>
              <w:t>项目中心地理坐标130°30′11.91″E，45°12′53.63″N。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建设内容</w:t>
            </w:r>
          </w:p>
        </w:tc>
        <w:tc>
          <w:tcPr>
            <w:tcW w:w="3191" w:type="pct"/>
            <w:gridSpan w:val="9"/>
            <w:shd w:val="clear" w:color="auto" w:fill="auto"/>
            <w:noWrap/>
            <w:vAlign w:val="center"/>
          </w:tcPr>
          <w:p>
            <w:pPr>
              <w:spacing w:line="240" w:lineRule="exact"/>
              <w:contextualSpacing/>
              <w:jc w:val="left"/>
              <w:rPr>
                <w:color w:val="auto"/>
                <w:sz w:val="21"/>
                <w:szCs w:val="21"/>
              </w:rPr>
            </w:pPr>
            <w:r>
              <w:rPr>
                <w:rFonts w:hint="eastAsia"/>
                <w:color w:val="auto"/>
                <w:sz w:val="21"/>
                <w:szCs w:val="21"/>
              </w:rPr>
              <w:t>扩建工业污水处理规模为5</w:t>
            </w:r>
            <w:r>
              <w:rPr>
                <w:color w:val="auto"/>
                <w:sz w:val="21"/>
                <w:szCs w:val="21"/>
              </w:rPr>
              <w:t>000</w:t>
            </w:r>
            <w:r>
              <w:rPr>
                <w:rFonts w:hint="eastAsia"/>
                <w:color w:val="auto"/>
                <w:sz w:val="21"/>
                <w:szCs w:val="21"/>
              </w:rPr>
              <w:t>m</w:t>
            </w:r>
            <w:r>
              <w:rPr>
                <w:color w:val="auto"/>
                <w:sz w:val="21"/>
                <w:szCs w:val="21"/>
                <w:vertAlign w:val="superscript"/>
              </w:rPr>
              <w:t>3</w:t>
            </w:r>
            <w:r>
              <w:rPr>
                <w:color w:val="auto"/>
                <w:sz w:val="21"/>
                <w:szCs w:val="21"/>
              </w:rPr>
              <w:t>/d</w:t>
            </w:r>
            <w:r>
              <w:rPr>
                <w:rFonts w:hint="eastAsia"/>
                <w:color w:val="auto"/>
                <w:sz w:val="21"/>
                <w:szCs w:val="21"/>
              </w:rPr>
              <w:t>；生活污水处理规模为</w:t>
            </w:r>
            <w:r>
              <w:rPr>
                <w:color w:val="auto"/>
                <w:sz w:val="21"/>
                <w:szCs w:val="21"/>
              </w:rPr>
              <w:t>300</w:t>
            </w:r>
            <w:r>
              <w:rPr>
                <w:rFonts w:hint="eastAsia"/>
                <w:color w:val="auto"/>
                <w:sz w:val="21"/>
                <w:szCs w:val="21"/>
              </w:rPr>
              <w:t>m</w:t>
            </w:r>
            <w:r>
              <w:rPr>
                <w:color w:val="auto"/>
                <w:sz w:val="21"/>
                <w:szCs w:val="21"/>
                <w:vertAlign w:val="superscript"/>
              </w:rPr>
              <w:t>3</w:t>
            </w:r>
            <w:r>
              <w:rPr>
                <w:color w:val="auto"/>
                <w:sz w:val="21"/>
                <w:szCs w:val="21"/>
              </w:rPr>
              <w:t>/d</w:t>
            </w:r>
            <w:r>
              <w:rPr>
                <w:rFonts w:hint="eastAsia"/>
                <w:color w:val="auto"/>
                <w:sz w:val="21"/>
                <w:szCs w:val="21"/>
              </w:rPr>
              <w:t>；新建工业污水排放管网5</w:t>
            </w:r>
            <w:r>
              <w:rPr>
                <w:color w:val="auto"/>
                <w:sz w:val="21"/>
                <w:szCs w:val="21"/>
              </w:rPr>
              <w:t>341m</w:t>
            </w:r>
            <w:r>
              <w:rPr>
                <w:rFonts w:hint="eastAsia"/>
                <w:color w:val="auto"/>
                <w:sz w:val="21"/>
                <w:szCs w:val="21"/>
              </w:rPr>
              <w:t>，管径为D</w:t>
            </w:r>
            <w:r>
              <w:rPr>
                <w:color w:val="auto"/>
                <w:sz w:val="21"/>
                <w:szCs w:val="21"/>
              </w:rPr>
              <w:t>N200~DN500</w:t>
            </w:r>
            <w:r>
              <w:rPr>
                <w:rFonts w:hint="eastAsia"/>
                <w:color w:val="auto"/>
                <w:sz w:val="21"/>
                <w:szCs w:val="21"/>
              </w:rPr>
              <w:t>；生活污水排放管网4</w:t>
            </w:r>
            <w:r>
              <w:rPr>
                <w:color w:val="auto"/>
                <w:sz w:val="21"/>
                <w:szCs w:val="21"/>
              </w:rPr>
              <w:t>522m</w:t>
            </w:r>
            <w:r>
              <w:rPr>
                <w:rFonts w:hint="eastAsia"/>
                <w:color w:val="auto"/>
                <w:sz w:val="21"/>
                <w:szCs w:val="21"/>
              </w:rPr>
              <w:t>，管径为D</w:t>
            </w:r>
            <w:r>
              <w:rPr>
                <w:color w:val="auto"/>
                <w:sz w:val="21"/>
                <w:szCs w:val="21"/>
              </w:rPr>
              <w:t>N300~DN400</w:t>
            </w:r>
            <w:r>
              <w:rPr>
                <w:rFonts w:hint="eastAsia"/>
                <w:color w:val="auto"/>
                <w:sz w:val="21"/>
                <w:szCs w:val="21"/>
              </w:rPr>
              <w:t>；污水处理厂出水回用管网3</w:t>
            </w:r>
            <w:r>
              <w:rPr>
                <w:color w:val="auto"/>
                <w:sz w:val="21"/>
                <w:szCs w:val="21"/>
              </w:rPr>
              <w:t>089m</w:t>
            </w:r>
            <w:r>
              <w:rPr>
                <w:rFonts w:hint="eastAsia"/>
                <w:color w:val="auto"/>
                <w:sz w:val="21"/>
                <w:szCs w:val="21"/>
              </w:rPr>
              <w:t>，管径为D</w:t>
            </w:r>
            <w:r>
              <w:rPr>
                <w:color w:val="auto"/>
                <w:sz w:val="21"/>
                <w:szCs w:val="21"/>
              </w:rPr>
              <w:t>N150~DN300</w:t>
            </w:r>
            <w:r>
              <w:rPr>
                <w:rFonts w:hint="eastAsia"/>
                <w:color w:val="auto"/>
                <w:sz w:val="21"/>
                <w:szCs w:val="21"/>
              </w:rPr>
              <w:t>；设置储水罐3罐；缓冲池1座；提升系统3套。新建混凝土明渠2</w:t>
            </w:r>
            <w:r>
              <w:rPr>
                <w:color w:val="auto"/>
                <w:sz w:val="21"/>
                <w:szCs w:val="21"/>
              </w:rPr>
              <w:t>60m</w:t>
            </w:r>
            <w:r>
              <w:rPr>
                <w:rFonts w:hint="eastAsia"/>
                <w:color w:val="auto"/>
                <w:sz w:val="21"/>
                <w:szCs w:val="21"/>
              </w:rPr>
              <w:t>，混凝土雨水管网2</w:t>
            </w:r>
            <w:r>
              <w:rPr>
                <w:color w:val="auto"/>
                <w:sz w:val="21"/>
                <w:szCs w:val="21"/>
              </w:rPr>
              <w:t>49m</w:t>
            </w:r>
            <w:r>
              <w:rPr>
                <w:rFonts w:hint="eastAsia"/>
                <w:color w:val="auto"/>
                <w:sz w:val="21"/>
                <w:szCs w:val="21"/>
              </w:rPr>
              <w:t>，管径为</w:t>
            </w:r>
            <w:r>
              <w:rPr>
                <w:color w:val="auto"/>
                <w:sz w:val="21"/>
                <w:szCs w:val="21"/>
              </w:rPr>
              <w:t>1000~1200mm</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建设性质</w:t>
            </w:r>
          </w:p>
        </w:tc>
        <w:tc>
          <w:tcPr>
            <w:tcW w:w="1180" w:type="pct"/>
            <w:gridSpan w:val="4"/>
            <w:shd w:val="clear" w:color="auto" w:fill="auto"/>
            <w:noWrap/>
            <w:vAlign w:val="center"/>
          </w:tcPr>
          <w:p>
            <w:pPr>
              <w:spacing w:line="240" w:lineRule="exact"/>
              <w:contextualSpacing/>
              <w:jc w:val="center"/>
              <w:rPr>
                <w:color w:val="auto"/>
                <w:sz w:val="21"/>
                <w:szCs w:val="21"/>
              </w:rPr>
            </w:pPr>
            <w:r>
              <w:rPr>
                <w:rFonts w:hint="eastAsia"/>
                <w:color w:val="auto"/>
                <w:sz w:val="21"/>
                <w:szCs w:val="21"/>
              </w:rPr>
              <w:t>改扩</w:t>
            </w:r>
            <w:r>
              <w:rPr>
                <w:color w:val="auto"/>
                <w:sz w:val="21"/>
                <w:szCs w:val="21"/>
              </w:rPr>
              <w:t>建建设类</w:t>
            </w:r>
          </w:p>
        </w:tc>
        <w:tc>
          <w:tcPr>
            <w:tcW w:w="1013"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总投资（万元）</w:t>
            </w:r>
          </w:p>
        </w:tc>
        <w:tc>
          <w:tcPr>
            <w:tcW w:w="998"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13726.01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vMerge w:val="restart"/>
            <w:shd w:val="clear" w:color="auto" w:fill="auto"/>
            <w:noWrap/>
            <w:vAlign w:val="center"/>
          </w:tcPr>
          <w:p>
            <w:pPr>
              <w:spacing w:line="240" w:lineRule="exact"/>
              <w:contextualSpacing/>
              <w:jc w:val="center"/>
              <w:rPr>
                <w:color w:val="auto"/>
                <w:sz w:val="21"/>
                <w:szCs w:val="21"/>
              </w:rPr>
            </w:pPr>
            <w:r>
              <w:rPr>
                <w:color w:val="auto"/>
                <w:sz w:val="21"/>
                <w:szCs w:val="21"/>
              </w:rPr>
              <w:t>土建投资（万元）</w:t>
            </w:r>
          </w:p>
        </w:tc>
        <w:tc>
          <w:tcPr>
            <w:tcW w:w="1180" w:type="pct"/>
            <w:gridSpan w:val="4"/>
            <w:vMerge w:val="restart"/>
            <w:shd w:val="clear" w:color="auto" w:fill="auto"/>
            <w:noWrap/>
            <w:vAlign w:val="center"/>
          </w:tcPr>
          <w:p>
            <w:pPr>
              <w:spacing w:line="240" w:lineRule="exact"/>
              <w:contextualSpacing/>
              <w:jc w:val="center"/>
              <w:rPr>
                <w:color w:val="auto"/>
                <w:sz w:val="21"/>
                <w:szCs w:val="21"/>
              </w:rPr>
            </w:pPr>
            <w:r>
              <w:rPr>
                <w:color w:val="auto"/>
                <w:sz w:val="21"/>
                <w:szCs w:val="21"/>
              </w:rPr>
              <w:t>12641.36</w:t>
            </w:r>
          </w:p>
        </w:tc>
        <w:tc>
          <w:tcPr>
            <w:tcW w:w="1013" w:type="pct"/>
            <w:gridSpan w:val="3"/>
            <w:vMerge w:val="restart"/>
            <w:shd w:val="clear" w:color="auto" w:fill="auto"/>
            <w:noWrap/>
            <w:vAlign w:val="center"/>
          </w:tcPr>
          <w:p>
            <w:pPr>
              <w:spacing w:line="240" w:lineRule="exact"/>
              <w:contextualSpacing/>
              <w:jc w:val="center"/>
              <w:rPr>
                <w:color w:val="auto"/>
                <w:sz w:val="21"/>
                <w:szCs w:val="21"/>
              </w:rPr>
            </w:pPr>
            <w:r>
              <w:rPr>
                <w:color w:val="auto"/>
                <w:sz w:val="21"/>
                <w:szCs w:val="21"/>
              </w:rPr>
              <w:t>占地面积（hm</w:t>
            </w:r>
            <w:r>
              <w:rPr>
                <w:color w:val="auto"/>
                <w:sz w:val="21"/>
                <w:szCs w:val="21"/>
                <w:vertAlign w:val="superscript"/>
              </w:rPr>
              <w:t>2</w:t>
            </w:r>
            <w:r>
              <w:rPr>
                <w:color w:val="auto"/>
                <w:sz w:val="21"/>
                <w:szCs w:val="21"/>
              </w:rPr>
              <w:t>）</w:t>
            </w:r>
          </w:p>
        </w:tc>
        <w:tc>
          <w:tcPr>
            <w:tcW w:w="998" w:type="pct"/>
            <w:gridSpan w:val="2"/>
            <w:shd w:val="clear" w:color="auto" w:fill="auto"/>
            <w:noWrap/>
            <w:vAlign w:val="center"/>
          </w:tcPr>
          <w:p>
            <w:pPr>
              <w:spacing w:line="240" w:lineRule="exact"/>
              <w:contextualSpacing/>
              <w:rPr>
                <w:color w:val="auto"/>
                <w:sz w:val="21"/>
                <w:szCs w:val="21"/>
              </w:rPr>
            </w:pPr>
            <w:r>
              <w:rPr>
                <w:color w:val="auto"/>
                <w:sz w:val="21"/>
                <w:szCs w:val="21"/>
              </w:rPr>
              <w:t>永久：3.00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vMerge w:val="continue"/>
            <w:vAlign w:val="center"/>
          </w:tcPr>
          <w:p>
            <w:pPr>
              <w:spacing w:line="240" w:lineRule="exact"/>
              <w:contextualSpacing/>
              <w:rPr>
                <w:color w:val="auto"/>
                <w:sz w:val="21"/>
                <w:szCs w:val="21"/>
              </w:rPr>
            </w:pPr>
          </w:p>
        </w:tc>
        <w:tc>
          <w:tcPr>
            <w:tcW w:w="1180" w:type="pct"/>
            <w:gridSpan w:val="4"/>
            <w:vMerge w:val="continue"/>
            <w:vAlign w:val="center"/>
          </w:tcPr>
          <w:p>
            <w:pPr>
              <w:spacing w:line="240" w:lineRule="exact"/>
              <w:contextualSpacing/>
              <w:rPr>
                <w:color w:val="auto"/>
                <w:sz w:val="21"/>
                <w:szCs w:val="21"/>
              </w:rPr>
            </w:pPr>
          </w:p>
        </w:tc>
        <w:tc>
          <w:tcPr>
            <w:tcW w:w="1013" w:type="pct"/>
            <w:gridSpan w:val="3"/>
            <w:vMerge w:val="continue"/>
            <w:vAlign w:val="center"/>
          </w:tcPr>
          <w:p>
            <w:pPr>
              <w:spacing w:line="240" w:lineRule="exact"/>
              <w:contextualSpacing/>
              <w:rPr>
                <w:color w:val="auto"/>
                <w:sz w:val="21"/>
                <w:szCs w:val="21"/>
              </w:rPr>
            </w:pPr>
          </w:p>
        </w:tc>
        <w:tc>
          <w:tcPr>
            <w:tcW w:w="998" w:type="pct"/>
            <w:gridSpan w:val="2"/>
            <w:shd w:val="clear" w:color="auto" w:fill="auto"/>
            <w:noWrap/>
            <w:vAlign w:val="center"/>
          </w:tcPr>
          <w:p>
            <w:pPr>
              <w:spacing w:line="240" w:lineRule="exact"/>
              <w:contextualSpacing/>
              <w:rPr>
                <w:color w:val="auto"/>
                <w:sz w:val="21"/>
                <w:szCs w:val="21"/>
              </w:rPr>
            </w:pPr>
            <w:r>
              <w:rPr>
                <w:color w:val="auto"/>
                <w:sz w:val="21"/>
                <w:szCs w:val="21"/>
              </w:rPr>
              <w:t>临时：</w:t>
            </w:r>
            <w:r>
              <w:rPr>
                <w:rFonts w:hint="eastAsia"/>
                <w:color w:val="auto"/>
                <w:sz w:val="21"/>
                <w:szCs w:val="21"/>
              </w:rPr>
              <w:t xml:space="preserve"> </w:t>
            </w:r>
            <w:r>
              <w:rPr>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动工时间</w:t>
            </w:r>
          </w:p>
        </w:tc>
        <w:tc>
          <w:tcPr>
            <w:tcW w:w="1180"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2022年</w:t>
            </w:r>
            <w:r>
              <w:rPr>
                <w:rFonts w:hint="eastAsia"/>
                <w:color w:val="auto"/>
                <w:sz w:val="21"/>
                <w:szCs w:val="21"/>
              </w:rPr>
              <w:t>5</w:t>
            </w:r>
            <w:r>
              <w:rPr>
                <w:color w:val="auto"/>
                <w:sz w:val="21"/>
                <w:szCs w:val="21"/>
              </w:rPr>
              <w:t>月</w:t>
            </w:r>
          </w:p>
        </w:tc>
        <w:tc>
          <w:tcPr>
            <w:tcW w:w="1013"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完工时间</w:t>
            </w:r>
          </w:p>
        </w:tc>
        <w:tc>
          <w:tcPr>
            <w:tcW w:w="998"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2023年12月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vMerge w:val="restart"/>
            <w:shd w:val="clear" w:color="auto" w:fill="auto"/>
            <w:noWrap/>
            <w:vAlign w:val="center"/>
          </w:tcPr>
          <w:p>
            <w:pPr>
              <w:spacing w:line="240" w:lineRule="exact"/>
              <w:contextualSpacing/>
              <w:jc w:val="center"/>
              <w:rPr>
                <w:color w:val="auto"/>
                <w:sz w:val="21"/>
                <w:szCs w:val="21"/>
              </w:rPr>
            </w:pPr>
            <w:r>
              <w:rPr>
                <w:color w:val="auto"/>
                <w:sz w:val="21"/>
                <w:szCs w:val="21"/>
              </w:rPr>
              <w:t>土石方（万m</w:t>
            </w:r>
            <w:r>
              <w:rPr>
                <w:color w:val="auto"/>
                <w:sz w:val="21"/>
                <w:szCs w:val="21"/>
                <w:vertAlign w:val="superscript"/>
              </w:rPr>
              <w:t>3</w:t>
            </w:r>
            <w:r>
              <w:rPr>
                <w:color w:val="auto"/>
                <w:sz w:val="21"/>
                <w:szCs w:val="21"/>
              </w:rPr>
              <w:t>）</w:t>
            </w:r>
          </w:p>
        </w:tc>
        <w:tc>
          <w:tcPr>
            <w:tcW w:w="664"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挖方</w:t>
            </w:r>
          </w:p>
        </w:tc>
        <w:tc>
          <w:tcPr>
            <w:tcW w:w="516" w:type="pct"/>
            <w:shd w:val="clear" w:color="auto" w:fill="auto"/>
            <w:noWrap/>
            <w:vAlign w:val="center"/>
          </w:tcPr>
          <w:p>
            <w:pPr>
              <w:spacing w:line="240" w:lineRule="exact"/>
              <w:contextualSpacing/>
              <w:jc w:val="center"/>
              <w:rPr>
                <w:color w:val="auto"/>
                <w:sz w:val="21"/>
                <w:szCs w:val="21"/>
              </w:rPr>
            </w:pPr>
            <w:r>
              <w:rPr>
                <w:color w:val="auto"/>
                <w:sz w:val="21"/>
                <w:szCs w:val="21"/>
              </w:rPr>
              <w:t>填方</w:t>
            </w:r>
          </w:p>
        </w:tc>
        <w:tc>
          <w:tcPr>
            <w:tcW w:w="1013"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借方</w:t>
            </w:r>
          </w:p>
        </w:tc>
        <w:tc>
          <w:tcPr>
            <w:tcW w:w="998"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vMerge w:val="continue"/>
            <w:vAlign w:val="center"/>
          </w:tcPr>
          <w:p>
            <w:pPr>
              <w:spacing w:line="240" w:lineRule="exact"/>
              <w:contextualSpacing/>
              <w:rPr>
                <w:color w:val="auto"/>
                <w:sz w:val="21"/>
                <w:szCs w:val="21"/>
              </w:rPr>
            </w:pPr>
          </w:p>
        </w:tc>
        <w:tc>
          <w:tcPr>
            <w:tcW w:w="664" w:type="pct"/>
            <w:gridSpan w:val="3"/>
            <w:noWrap/>
            <w:vAlign w:val="center"/>
          </w:tcPr>
          <w:p>
            <w:pPr>
              <w:spacing w:line="240" w:lineRule="exact"/>
              <w:contextualSpacing/>
              <w:jc w:val="center"/>
              <w:rPr>
                <w:color w:val="auto"/>
                <w:sz w:val="21"/>
                <w:szCs w:val="21"/>
              </w:rPr>
            </w:pPr>
            <w:r>
              <w:rPr>
                <w:color w:val="auto"/>
                <w:sz w:val="21"/>
                <w:szCs w:val="21"/>
              </w:rPr>
              <w:t>2.25</w:t>
            </w:r>
          </w:p>
        </w:tc>
        <w:tc>
          <w:tcPr>
            <w:tcW w:w="516" w:type="pct"/>
            <w:noWrap/>
            <w:vAlign w:val="center"/>
          </w:tcPr>
          <w:p>
            <w:pPr>
              <w:spacing w:line="240" w:lineRule="exact"/>
              <w:contextualSpacing/>
              <w:jc w:val="center"/>
              <w:rPr>
                <w:color w:val="auto"/>
                <w:sz w:val="21"/>
                <w:szCs w:val="21"/>
              </w:rPr>
            </w:pPr>
            <w:r>
              <w:rPr>
                <w:color w:val="auto"/>
                <w:sz w:val="21"/>
                <w:szCs w:val="21"/>
              </w:rPr>
              <w:t>2.25</w:t>
            </w:r>
          </w:p>
        </w:tc>
        <w:tc>
          <w:tcPr>
            <w:tcW w:w="1013" w:type="pct"/>
            <w:gridSpan w:val="3"/>
            <w:noWrap/>
            <w:vAlign w:val="center"/>
          </w:tcPr>
          <w:p>
            <w:pPr>
              <w:spacing w:line="240" w:lineRule="exact"/>
              <w:contextualSpacing/>
              <w:jc w:val="center"/>
              <w:rPr>
                <w:color w:val="auto"/>
                <w:sz w:val="21"/>
                <w:szCs w:val="21"/>
              </w:rPr>
            </w:pPr>
            <w:r>
              <w:rPr>
                <w:color w:val="auto"/>
                <w:sz w:val="21"/>
                <w:szCs w:val="21"/>
              </w:rPr>
              <w:t>0</w:t>
            </w:r>
          </w:p>
        </w:tc>
        <w:tc>
          <w:tcPr>
            <w:tcW w:w="998" w:type="pct"/>
            <w:gridSpan w:val="2"/>
            <w:noWrap/>
            <w:vAlign w:val="center"/>
          </w:tcPr>
          <w:p>
            <w:pPr>
              <w:spacing w:line="240" w:lineRule="exact"/>
              <w:contextualSpacing/>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取土（石、砂）场</w:t>
            </w:r>
          </w:p>
        </w:tc>
        <w:tc>
          <w:tcPr>
            <w:tcW w:w="3191" w:type="pct"/>
            <w:gridSpan w:val="9"/>
            <w:shd w:val="clear" w:color="auto" w:fill="auto"/>
            <w:noWrap/>
            <w:vAlign w:val="center"/>
          </w:tcPr>
          <w:p>
            <w:pPr>
              <w:spacing w:line="240" w:lineRule="exact"/>
              <w:contextualSpacing/>
              <w:jc w:val="center"/>
              <w:rPr>
                <w:color w:val="auto"/>
                <w:sz w:val="21"/>
                <w:szCs w:val="21"/>
              </w:rPr>
            </w:pPr>
            <w:r>
              <w:rPr>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24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弃土（石、渣）场</w:t>
            </w:r>
          </w:p>
        </w:tc>
        <w:tc>
          <w:tcPr>
            <w:tcW w:w="3191" w:type="pct"/>
            <w:gridSpan w:val="9"/>
            <w:shd w:val="clear" w:color="auto" w:fill="auto"/>
            <w:noWrap/>
            <w:vAlign w:val="center"/>
          </w:tcPr>
          <w:p>
            <w:pPr>
              <w:spacing w:line="240" w:lineRule="exact"/>
              <w:contextualSpacing/>
              <w:jc w:val="center"/>
              <w:rPr>
                <w:color w:val="auto"/>
                <w:sz w:val="21"/>
                <w:szCs w:val="21"/>
              </w:rPr>
            </w:pPr>
            <w:r>
              <w:rPr>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restart"/>
            <w:shd w:val="clear" w:color="auto" w:fill="auto"/>
            <w:noWrap/>
            <w:vAlign w:val="center"/>
          </w:tcPr>
          <w:p>
            <w:pPr>
              <w:spacing w:line="240" w:lineRule="exact"/>
              <w:contextualSpacing/>
              <w:jc w:val="center"/>
              <w:rPr>
                <w:color w:val="auto"/>
                <w:sz w:val="21"/>
                <w:szCs w:val="21"/>
              </w:rPr>
            </w:pPr>
            <w:r>
              <w:rPr>
                <w:color w:val="auto"/>
                <w:sz w:val="21"/>
                <w:szCs w:val="21"/>
              </w:rPr>
              <w:t>项目区概况</w:t>
            </w:r>
          </w:p>
        </w:tc>
        <w:tc>
          <w:tcPr>
            <w:tcW w:w="1331"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涉及重点防治区情况</w:t>
            </w:r>
          </w:p>
        </w:tc>
        <w:tc>
          <w:tcPr>
            <w:tcW w:w="1246" w:type="pct"/>
            <w:gridSpan w:val="4"/>
            <w:shd w:val="clear" w:color="auto" w:fill="auto"/>
            <w:vAlign w:val="center"/>
          </w:tcPr>
          <w:p>
            <w:pPr>
              <w:spacing w:line="240" w:lineRule="exact"/>
              <w:contextualSpacing/>
              <w:jc w:val="center"/>
              <w:rPr>
                <w:color w:val="auto"/>
                <w:sz w:val="21"/>
                <w:szCs w:val="21"/>
              </w:rPr>
            </w:pPr>
            <w:r>
              <w:rPr>
                <w:rFonts w:hint="eastAsia"/>
                <w:color w:val="auto"/>
                <w:sz w:val="21"/>
                <w:szCs w:val="21"/>
              </w:rPr>
              <w:t>国家</w:t>
            </w:r>
            <w:r>
              <w:rPr>
                <w:color w:val="auto"/>
                <w:sz w:val="21"/>
                <w:szCs w:val="21"/>
              </w:rPr>
              <w:t>级水土流失重点治理区</w:t>
            </w:r>
          </w:p>
        </w:tc>
        <w:tc>
          <w:tcPr>
            <w:tcW w:w="1101"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地貌类型</w:t>
            </w:r>
          </w:p>
        </w:tc>
        <w:tc>
          <w:tcPr>
            <w:tcW w:w="759" w:type="pct"/>
            <w:shd w:val="clear" w:color="auto" w:fill="auto"/>
            <w:noWrap/>
            <w:vAlign w:val="center"/>
          </w:tcPr>
          <w:p>
            <w:pPr>
              <w:spacing w:line="240" w:lineRule="exact"/>
              <w:contextualSpacing/>
              <w:jc w:val="center"/>
              <w:rPr>
                <w:color w:val="auto"/>
                <w:sz w:val="21"/>
                <w:szCs w:val="21"/>
              </w:rPr>
            </w:pPr>
            <w:r>
              <w:rPr>
                <w:rFonts w:hint="eastAsia"/>
                <w:color w:val="auto"/>
                <w:sz w:val="21"/>
                <w:szCs w:val="21"/>
              </w:rPr>
              <w:t>丘陵斜坡堆积地貌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3" w:type="pct"/>
            <w:vMerge w:val="continue"/>
            <w:vAlign w:val="center"/>
          </w:tcPr>
          <w:p>
            <w:pPr>
              <w:spacing w:line="240" w:lineRule="exact"/>
              <w:contextualSpacing/>
              <w:rPr>
                <w:color w:val="auto"/>
                <w:sz w:val="21"/>
                <w:szCs w:val="21"/>
              </w:rPr>
            </w:pPr>
          </w:p>
        </w:tc>
        <w:tc>
          <w:tcPr>
            <w:tcW w:w="1331"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原地貌土壤侵蚀模数</w:t>
            </w:r>
          </w:p>
          <w:p>
            <w:pPr>
              <w:spacing w:line="240" w:lineRule="exact"/>
              <w:contextualSpacing/>
              <w:jc w:val="center"/>
              <w:rPr>
                <w:color w:val="auto"/>
                <w:sz w:val="21"/>
                <w:szCs w:val="21"/>
              </w:rPr>
            </w:pPr>
            <w:r>
              <w:rPr>
                <w:color w:val="auto"/>
                <w:sz w:val="21"/>
                <w:szCs w:val="21"/>
              </w:rPr>
              <w:t>〔t/（km</w:t>
            </w:r>
            <w:r>
              <w:rPr>
                <w:color w:val="auto"/>
                <w:sz w:val="21"/>
                <w:szCs w:val="21"/>
                <w:vertAlign w:val="superscript"/>
              </w:rPr>
              <w:t>2</w:t>
            </w:r>
            <w:r>
              <w:rPr>
                <w:color w:val="auto"/>
                <w:sz w:val="21"/>
                <w:szCs w:val="21"/>
              </w:rPr>
              <w:t>∙a）〕</w:t>
            </w:r>
          </w:p>
        </w:tc>
        <w:tc>
          <w:tcPr>
            <w:tcW w:w="1246" w:type="pct"/>
            <w:gridSpan w:val="4"/>
            <w:shd w:val="clear" w:color="auto" w:fill="auto"/>
            <w:vAlign w:val="center"/>
          </w:tcPr>
          <w:p>
            <w:pPr>
              <w:spacing w:line="240" w:lineRule="exact"/>
              <w:contextualSpacing/>
              <w:jc w:val="center"/>
              <w:rPr>
                <w:color w:val="auto"/>
                <w:sz w:val="21"/>
                <w:szCs w:val="21"/>
              </w:rPr>
            </w:pPr>
            <w:r>
              <w:rPr>
                <w:color w:val="auto"/>
                <w:sz w:val="21"/>
                <w:szCs w:val="21"/>
              </w:rPr>
              <w:t>400</w:t>
            </w:r>
          </w:p>
        </w:tc>
        <w:tc>
          <w:tcPr>
            <w:tcW w:w="1101"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容许土壤流失量</w:t>
            </w:r>
          </w:p>
          <w:p>
            <w:pPr>
              <w:spacing w:line="240" w:lineRule="exact"/>
              <w:contextualSpacing/>
              <w:jc w:val="center"/>
              <w:rPr>
                <w:color w:val="auto"/>
                <w:sz w:val="21"/>
                <w:szCs w:val="21"/>
              </w:rPr>
            </w:pPr>
            <w:r>
              <w:rPr>
                <w:color w:val="auto"/>
                <w:sz w:val="21"/>
                <w:szCs w:val="21"/>
              </w:rPr>
              <w:t>〔t/（km</w:t>
            </w:r>
            <w:r>
              <w:rPr>
                <w:color w:val="auto"/>
                <w:sz w:val="21"/>
                <w:szCs w:val="21"/>
                <w:vertAlign w:val="superscript"/>
              </w:rPr>
              <w:t>2</w:t>
            </w:r>
            <w:r>
              <w:rPr>
                <w:color w:val="auto"/>
                <w:sz w:val="21"/>
                <w:szCs w:val="21"/>
              </w:rPr>
              <w:t>∙a）〕</w:t>
            </w:r>
          </w:p>
        </w:tc>
        <w:tc>
          <w:tcPr>
            <w:tcW w:w="759" w:type="pct"/>
            <w:shd w:val="clear" w:color="auto" w:fill="auto"/>
            <w:noWrap/>
            <w:vAlign w:val="center"/>
          </w:tcPr>
          <w:p>
            <w:pPr>
              <w:spacing w:line="240" w:lineRule="exact"/>
              <w:contextualSpacing/>
              <w:jc w:val="center"/>
              <w:rPr>
                <w:color w:val="auto"/>
                <w:sz w:val="21"/>
                <w:szCs w:val="21"/>
              </w:rPr>
            </w:pPr>
            <w:r>
              <w:rPr>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4" w:type="pct"/>
            <w:gridSpan w:val="6"/>
            <w:shd w:val="clear" w:color="auto" w:fill="auto"/>
            <w:noWrap/>
            <w:vAlign w:val="center"/>
          </w:tcPr>
          <w:p>
            <w:pPr>
              <w:spacing w:line="240" w:lineRule="exact"/>
              <w:contextualSpacing/>
              <w:jc w:val="center"/>
              <w:rPr>
                <w:color w:val="auto"/>
                <w:sz w:val="21"/>
                <w:szCs w:val="21"/>
              </w:rPr>
            </w:pPr>
            <w:r>
              <w:rPr>
                <w:color w:val="auto"/>
                <w:sz w:val="21"/>
                <w:szCs w:val="21"/>
              </w:rPr>
              <w:t>项目选址水土保持评价</w:t>
            </w:r>
          </w:p>
        </w:tc>
        <w:tc>
          <w:tcPr>
            <w:tcW w:w="3106" w:type="pct"/>
            <w:gridSpan w:val="8"/>
            <w:shd w:val="clear" w:color="auto" w:fill="auto"/>
            <w:vAlign w:val="center"/>
          </w:tcPr>
          <w:p>
            <w:pPr>
              <w:spacing w:line="240" w:lineRule="exact"/>
              <w:contextualSpacing/>
              <w:rPr>
                <w:color w:val="auto"/>
                <w:sz w:val="21"/>
                <w:szCs w:val="21"/>
              </w:rPr>
            </w:pPr>
            <w:r>
              <w:rPr>
                <w:color w:val="auto"/>
                <w:sz w:val="21"/>
                <w:szCs w:val="21"/>
              </w:rPr>
              <w:t>项目选址位于</w:t>
            </w:r>
            <w:r>
              <w:rPr>
                <w:rFonts w:hint="eastAsia"/>
                <w:color w:val="auto"/>
                <w:sz w:val="21"/>
                <w:szCs w:val="21"/>
              </w:rPr>
              <w:t>国家级</w:t>
            </w:r>
            <w:r>
              <w:rPr>
                <w:color w:val="auto"/>
                <w:sz w:val="21"/>
                <w:szCs w:val="21"/>
              </w:rPr>
              <w:t>水土流失重点治理区</w:t>
            </w:r>
            <w:r>
              <w:rPr>
                <w:rFonts w:hint="eastAsia"/>
                <w:color w:val="auto"/>
                <w:sz w:val="21"/>
                <w:szCs w:val="21"/>
              </w:rPr>
              <w:t>，</w:t>
            </w:r>
            <w:r>
              <w:rPr>
                <w:color w:val="auto"/>
                <w:sz w:val="21"/>
                <w:szCs w:val="21"/>
              </w:rPr>
              <w:t>通过加强工程施工管理、优化施工工艺和时序，减少项目建设可能产生的水土流失。</w:t>
            </w:r>
            <w:r>
              <w:rPr>
                <w:rFonts w:hint="eastAsia"/>
                <w:color w:val="auto"/>
                <w:sz w:val="21"/>
                <w:szCs w:val="21"/>
              </w:rPr>
              <w:t>项目</w:t>
            </w:r>
            <w:r>
              <w:rPr>
                <w:color w:val="auto"/>
                <w:sz w:val="21"/>
                <w:szCs w:val="21"/>
              </w:rPr>
              <w:t>不涉及河流两岸、湖泊和水库周边的植物保护带，不涉及全国水土保持监测网络中的水土保持监测站点及重点试验区和国家确定的水土保持长期定位观测站，故从水土保持角度出发分析，本项目施工建设不存在水土保持制约性因素，主体工程选址合理，项目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4" w:type="pct"/>
            <w:gridSpan w:val="6"/>
            <w:shd w:val="clear" w:color="auto" w:fill="auto"/>
            <w:noWrap/>
            <w:vAlign w:val="center"/>
          </w:tcPr>
          <w:p>
            <w:pPr>
              <w:spacing w:line="240" w:lineRule="exact"/>
              <w:contextualSpacing/>
              <w:jc w:val="center"/>
              <w:rPr>
                <w:color w:val="auto"/>
                <w:sz w:val="21"/>
                <w:szCs w:val="21"/>
              </w:rPr>
            </w:pPr>
            <w:r>
              <w:rPr>
                <w:color w:val="auto"/>
                <w:sz w:val="21"/>
                <w:szCs w:val="21"/>
              </w:rPr>
              <w:t>预测土壤流失总量</w:t>
            </w:r>
          </w:p>
        </w:tc>
        <w:tc>
          <w:tcPr>
            <w:tcW w:w="3106" w:type="pct"/>
            <w:gridSpan w:val="8"/>
            <w:shd w:val="clear" w:color="auto" w:fill="auto"/>
            <w:vAlign w:val="center"/>
          </w:tcPr>
          <w:p>
            <w:pPr>
              <w:spacing w:line="240" w:lineRule="exact"/>
              <w:contextualSpacing/>
              <w:jc w:val="center"/>
              <w:rPr>
                <w:color w:val="auto"/>
                <w:sz w:val="21"/>
                <w:szCs w:val="21"/>
              </w:rPr>
            </w:pPr>
            <w:r>
              <w:rPr>
                <w:color w:val="auto"/>
                <w:sz w:val="21"/>
                <w:szCs w:val="21"/>
              </w:rPr>
              <w:t>275t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4" w:type="pct"/>
            <w:gridSpan w:val="6"/>
            <w:shd w:val="clear" w:color="auto" w:fill="auto"/>
            <w:noWrap/>
            <w:vAlign w:val="center"/>
          </w:tcPr>
          <w:p>
            <w:pPr>
              <w:spacing w:line="240" w:lineRule="exact"/>
              <w:contextualSpacing/>
              <w:jc w:val="center"/>
              <w:rPr>
                <w:color w:val="auto"/>
                <w:sz w:val="21"/>
                <w:szCs w:val="21"/>
              </w:rPr>
            </w:pPr>
            <w:r>
              <w:rPr>
                <w:color w:val="auto"/>
                <w:sz w:val="21"/>
                <w:szCs w:val="21"/>
              </w:rPr>
              <w:t>防治责任范围（hm</w:t>
            </w:r>
            <w:r>
              <w:rPr>
                <w:color w:val="auto"/>
                <w:sz w:val="21"/>
                <w:szCs w:val="21"/>
                <w:vertAlign w:val="superscript"/>
              </w:rPr>
              <w:t>2</w:t>
            </w:r>
            <w:r>
              <w:rPr>
                <w:color w:val="auto"/>
                <w:sz w:val="21"/>
                <w:szCs w:val="21"/>
              </w:rPr>
              <w:t>）</w:t>
            </w:r>
          </w:p>
        </w:tc>
        <w:tc>
          <w:tcPr>
            <w:tcW w:w="3106" w:type="pct"/>
            <w:gridSpan w:val="8"/>
            <w:shd w:val="clear" w:color="auto" w:fill="auto"/>
            <w:vAlign w:val="center"/>
          </w:tcPr>
          <w:p>
            <w:pPr>
              <w:spacing w:line="240" w:lineRule="exact"/>
              <w:contextualSpacing/>
              <w:jc w:val="center"/>
              <w:rPr>
                <w:color w:val="auto"/>
                <w:sz w:val="21"/>
                <w:szCs w:val="21"/>
              </w:rPr>
            </w:pPr>
            <w:r>
              <w:rPr>
                <w:rFonts w:hint="eastAsia"/>
                <w:color w:val="auto"/>
                <w:sz w:val="21"/>
                <w:szCs w:val="21"/>
              </w:rPr>
              <w:t>4</w:t>
            </w:r>
            <w:r>
              <w:rPr>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restart"/>
            <w:shd w:val="clear" w:color="auto" w:fill="auto"/>
            <w:vAlign w:val="center"/>
          </w:tcPr>
          <w:p>
            <w:pPr>
              <w:spacing w:line="240" w:lineRule="exact"/>
              <w:contextualSpacing/>
              <w:jc w:val="center"/>
              <w:rPr>
                <w:color w:val="auto"/>
                <w:sz w:val="21"/>
                <w:szCs w:val="21"/>
              </w:rPr>
            </w:pPr>
            <w:r>
              <w:rPr>
                <w:color w:val="auto"/>
                <w:sz w:val="21"/>
                <w:szCs w:val="21"/>
              </w:rPr>
              <w:t>防治标准等级及目标</w:t>
            </w:r>
          </w:p>
        </w:tc>
        <w:tc>
          <w:tcPr>
            <w:tcW w:w="1166"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防治标准等级</w:t>
            </w:r>
          </w:p>
        </w:tc>
        <w:tc>
          <w:tcPr>
            <w:tcW w:w="3106" w:type="pct"/>
            <w:gridSpan w:val="8"/>
            <w:shd w:val="clear" w:color="auto" w:fill="auto"/>
            <w:vAlign w:val="center"/>
          </w:tcPr>
          <w:p>
            <w:pPr>
              <w:spacing w:line="240" w:lineRule="exact"/>
              <w:contextualSpacing/>
              <w:jc w:val="center"/>
              <w:rPr>
                <w:color w:val="auto"/>
                <w:sz w:val="21"/>
                <w:szCs w:val="21"/>
              </w:rPr>
            </w:pPr>
            <w:r>
              <w:rPr>
                <w:color w:val="auto"/>
                <w:sz w:val="21"/>
                <w:szCs w:val="21"/>
              </w:rPr>
              <w:t>东北黑土区一级标准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1249"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水土流失治理度（%）</w:t>
            </w:r>
          </w:p>
        </w:tc>
        <w:tc>
          <w:tcPr>
            <w:tcW w:w="1012" w:type="pct"/>
            <w:gridSpan w:val="2"/>
            <w:shd w:val="clear" w:color="auto" w:fill="auto"/>
            <w:vAlign w:val="center"/>
          </w:tcPr>
          <w:p>
            <w:pPr>
              <w:spacing w:line="240" w:lineRule="exact"/>
              <w:contextualSpacing/>
              <w:jc w:val="center"/>
              <w:rPr>
                <w:color w:val="auto"/>
                <w:sz w:val="21"/>
                <w:szCs w:val="21"/>
              </w:rPr>
            </w:pPr>
            <w:r>
              <w:rPr>
                <w:color w:val="auto"/>
                <w:sz w:val="21"/>
                <w:szCs w:val="21"/>
              </w:rPr>
              <w:t>97</w:t>
            </w:r>
          </w:p>
        </w:tc>
        <w:tc>
          <w:tcPr>
            <w:tcW w:w="1252"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土壤流失控制比</w:t>
            </w:r>
          </w:p>
        </w:tc>
        <w:tc>
          <w:tcPr>
            <w:tcW w:w="759" w:type="pct"/>
            <w:shd w:val="clear" w:color="auto" w:fill="auto"/>
            <w:noWrap/>
            <w:vAlign w:val="center"/>
          </w:tcPr>
          <w:p>
            <w:pPr>
              <w:spacing w:line="240" w:lineRule="exact"/>
              <w:contextualSpacing/>
              <w:jc w:val="center"/>
              <w:rPr>
                <w:color w:val="auto"/>
                <w:sz w:val="21"/>
                <w:szCs w:val="21"/>
              </w:rPr>
            </w:pPr>
            <w:r>
              <w:rPr>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1249"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渣土防护率（%）</w:t>
            </w:r>
          </w:p>
        </w:tc>
        <w:tc>
          <w:tcPr>
            <w:tcW w:w="1012" w:type="pct"/>
            <w:gridSpan w:val="2"/>
            <w:shd w:val="clear" w:color="auto" w:fill="auto"/>
            <w:vAlign w:val="center"/>
          </w:tcPr>
          <w:p>
            <w:pPr>
              <w:spacing w:line="240" w:lineRule="exact"/>
              <w:contextualSpacing/>
              <w:jc w:val="center"/>
              <w:rPr>
                <w:color w:val="auto"/>
                <w:sz w:val="21"/>
                <w:szCs w:val="21"/>
              </w:rPr>
            </w:pPr>
            <w:r>
              <w:rPr>
                <w:color w:val="auto"/>
                <w:sz w:val="21"/>
                <w:szCs w:val="21"/>
              </w:rPr>
              <w:t>98</w:t>
            </w:r>
          </w:p>
        </w:tc>
        <w:tc>
          <w:tcPr>
            <w:tcW w:w="1252"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表土保护率（%）</w:t>
            </w:r>
          </w:p>
        </w:tc>
        <w:tc>
          <w:tcPr>
            <w:tcW w:w="759" w:type="pct"/>
            <w:shd w:val="clear" w:color="auto" w:fill="auto"/>
            <w:noWrap/>
            <w:vAlign w:val="center"/>
          </w:tcPr>
          <w:p>
            <w:pPr>
              <w:spacing w:line="240" w:lineRule="exact"/>
              <w:contextualSpacing/>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1249"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林草植被恢复率（%）</w:t>
            </w:r>
          </w:p>
        </w:tc>
        <w:tc>
          <w:tcPr>
            <w:tcW w:w="1012" w:type="pct"/>
            <w:gridSpan w:val="2"/>
            <w:shd w:val="clear" w:color="auto" w:fill="auto"/>
            <w:vAlign w:val="center"/>
          </w:tcPr>
          <w:p>
            <w:pPr>
              <w:spacing w:line="240" w:lineRule="exact"/>
              <w:contextualSpacing/>
              <w:jc w:val="center"/>
              <w:rPr>
                <w:color w:val="auto"/>
                <w:sz w:val="21"/>
                <w:szCs w:val="21"/>
              </w:rPr>
            </w:pPr>
            <w:r>
              <w:rPr>
                <w:color w:val="auto"/>
                <w:sz w:val="21"/>
                <w:szCs w:val="21"/>
              </w:rPr>
              <w:t>97</w:t>
            </w:r>
          </w:p>
        </w:tc>
        <w:tc>
          <w:tcPr>
            <w:tcW w:w="1252"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林草覆盖率（%）</w:t>
            </w:r>
          </w:p>
        </w:tc>
        <w:tc>
          <w:tcPr>
            <w:tcW w:w="759" w:type="pct"/>
            <w:shd w:val="clear" w:color="auto" w:fill="auto"/>
            <w:noWrap/>
            <w:vAlign w:val="center"/>
          </w:tcPr>
          <w:p>
            <w:pPr>
              <w:spacing w:line="240" w:lineRule="exact"/>
              <w:contextualSpacing/>
              <w:jc w:val="center"/>
              <w:rPr>
                <w:color w:val="auto"/>
                <w:sz w:val="21"/>
                <w:szCs w:val="21"/>
              </w:rPr>
            </w:pPr>
            <w:r>
              <w:rPr>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水土保持措施</w:t>
            </w:r>
          </w:p>
        </w:tc>
        <w:tc>
          <w:tcPr>
            <w:tcW w:w="4272" w:type="pct"/>
            <w:gridSpan w:val="12"/>
            <w:shd w:val="clear" w:color="auto" w:fill="auto"/>
            <w:noWrap/>
            <w:vAlign w:val="center"/>
          </w:tcPr>
          <w:p>
            <w:pPr>
              <w:spacing w:line="240" w:lineRule="exact"/>
              <w:contextualSpacing/>
              <w:jc w:val="left"/>
              <w:rPr>
                <w:color w:val="auto"/>
                <w:sz w:val="21"/>
                <w:szCs w:val="21"/>
              </w:rPr>
            </w:pPr>
            <w:bookmarkStart w:id="4" w:name="_Toc10470707"/>
            <w:bookmarkStart w:id="5" w:name="_Toc18417683"/>
            <w:bookmarkStart w:id="6" w:name="_Toc10467674"/>
            <w:r>
              <w:rPr>
                <w:rFonts w:hint="eastAsia"/>
                <w:color w:val="auto"/>
                <w:sz w:val="21"/>
                <w:szCs w:val="21"/>
              </w:rPr>
              <w:t>（1）建构筑物防治区</w:t>
            </w:r>
          </w:p>
          <w:p>
            <w:pPr>
              <w:spacing w:line="240" w:lineRule="exact"/>
              <w:contextualSpacing/>
              <w:jc w:val="left"/>
              <w:rPr>
                <w:color w:val="auto"/>
                <w:sz w:val="21"/>
                <w:szCs w:val="21"/>
              </w:rPr>
            </w:pPr>
            <w:r>
              <w:rPr>
                <w:color w:val="auto"/>
                <w:sz w:val="21"/>
                <w:szCs w:val="21"/>
              </w:rPr>
              <w:t>临时措施：</w:t>
            </w:r>
            <w:r>
              <w:rPr>
                <w:rFonts w:hint="eastAsia"/>
                <w:color w:val="auto"/>
                <w:sz w:val="21"/>
                <w:szCs w:val="21"/>
              </w:rPr>
              <w:t>临时</w:t>
            </w:r>
            <w:r>
              <w:rPr>
                <w:color w:val="auto"/>
                <w:sz w:val="21"/>
                <w:szCs w:val="21"/>
              </w:rPr>
              <w:t>苫盖</w:t>
            </w:r>
            <w:r>
              <w:rPr>
                <w:rFonts w:hint="eastAsia"/>
                <w:color w:val="auto"/>
                <w:sz w:val="21"/>
                <w:szCs w:val="21"/>
              </w:rPr>
              <w:t>及拆除</w:t>
            </w:r>
            <w:r>
              <w:rPr>
                <w:color w:val="auto"/>
                <w:sz w:val="21"/>
                <w:szCs w:val="21"/>
              </w:rPr>
              <w:t>5200m</w:t>
            </w:r>
            <w:r>
              <w:rPr>
                <w:color w:val="auto"/>
                <w:sz w:val="21"/>
                <w:szCs w:val="21"/>
                <w:vertAlign w:val="superscript"/>
              </w:rPr>
              <w:t>2</w:t>
            </w:r>
          </w:p>
          <w:p>
            <w:pPr>
              <w:spacing w:line="240" w:lineRule="exact"/>
              <w:contextualSpacing/>
              <w:jc w:val="left"/>
              <w:rPr>
                <w:color w:val="auto"/>
                <w:sz w:val="21"/>
                <w:szCs w:val="21"/>
              </w:rPr>
            </w:pPr>
            <w:r>
              <w:rPr>
                <w:rFonts w:hint="eastAsia"/>
                <w:color w:val="auto"/>
                <w:sz w:val="21"/>
                <w:szCs w:val="21"/>
              </w:rPr>
              <w:t>（2）</w:t>
            </w:r>
            <w:r>
              <w:rPr>
                <w:color w:val="auto"/>
                <w:sz w:val="21"/>
                <w:szCs w:val="21"/>
              </w:rPr>
              <w:t>道路</w:t>
            </w:r>
            <w:r>
              <w:rPr>
                <w:rFonts w:hint="eastAsia"/>
                <w:color w:val="auto"/>
                <w:sz w:val="21"/>
                <w:szCs w:val="21"/>
              </w:rPr>
              <w:t>地面</w:t>
            </w:r>
            <w:r>
              <w:rPr>
                <w:color w:val="auto"/>
                <w:sz w:val="21"/>
                <w:szCs w:val="21"/>
              </w:rPr>
              <w:t>硬化</w:t>
            </w:r>
            <w:r>
              <w:rPr>
                <w:rFonts w:hint="eastAsia"/>
                <w:color w:val="auto"/>
                <w:sz w:val="21"/>
                <w:szCs w:val="21"/>
              </w:rPr>
              <w:t>防治</w:t>
            </w:r>
            <w:r>
              <w:rPr>
                <w:color w:val="auto"/>
                <w:sz w:val="21"/>
                <w:szCs w:val="21"/>
              </w:rPr>
              <w:t>区：</w:t>
            </w:r>
          </w:p>
          <w:p>
            <w:pPr>
              <w:spacing w:line="240" w:lineRule="exact"/>
              <w:contextualSpacing/>
              <w:jc w:val="left"/>
              <w:rPr>
                <w:color w:val="auto"/>
                <w:sz w:val="21"/>
                <w:szCs w:val="21"/>
              </w:rPr>
            </w:pPr>
            <w:r>
              <w:rPr>
                <w:color w:val="auto"/>
                <w:sz w:val="21"/>
                <w:szCs w:val="21"/>
              </w:rPr>
              <w:t>工程措施：</w:t>
            </w:r>
            <w:r>
              <w:rPr>
                <w:rFonts w:hint="eastAsia"/>
                <w:color w:val="auto"/>
                <w:sz w:val="21"/>
                <w:szCs w:val="21"/>
              </w:rPr>
              <w:t>雨水管</w:t>
            </w:r>
            <w:r>
              <w:rPr>
                <w:color w:val="auto"/>
                <w:sz w:val="21"/>
                <w:szCs w:val="21"/>
              </w:rPr>
              <w:t>249m</w:t>
            </w:r>
            <w:r>
              <w:rPr>
                <w:rFonts w:hint="eastAsia"/>
                <w:color w:val="auto"/>
                <w:sz w:val="21"/>
                <w:szCs w:val="21"/>
              </w:rPr>
              <w:t>，雨水井1</w:t>
            </w:r>
            <w:r>
              <w:rPr>
                <w:color w:val="auto"/>
                <w:sz w:val="21"/>
                <w:szCs w:val="21"/>
              </w:rPr>
              <w:t>8</w:t>
            </w:r>
            <w:r>
              <w:rPr>
                <w:rFonts w:hint="eastAsia"/>
                <w:color w:val="auto"/>
                <w:sz w:val="21"/>
                <w:szCs w:val="21"/>
              </w:rPr>
              <w:t>座</w:t>
            </w:r>
            <w:bookmarkEnd w:id="4"/>
            <w:bookmarkEnd w:id="5"/>
            <w:bookmarkEnd w:id="6"/>
            <w:r>
              <w:rPr>
                <w:rFonts w:hint="eastAsia"/>
                <w:color w:val="auto"/>
                <w:sz w:val="21"/>
                <w:szCs w:val="21"/>
              </w:rPr>
              <w:t>，排水明沟2</w:t>
            </w:r>
            <w:r>
              <w:rPr>
                <w:color w:val="auto"/>
                <w:sz w:val="21"/>
                <w:szCs w:val="21"/>
              </w:rPr>
              <w:t>60m</w:t>
            </w:r>
          </w:p>
          <w:p>
            <w:pPr>
              <w:spacing w:line="240" w:lineRule="exact"/>
              <w:contextualSpacing/>
              <w:jc w:val="left"/>
              <w:rPr>
                <w:color w:val="auto"/>
                <w:sz w:val="21"/>
                <w:szCs w:val="21"/>
              </w:rPr>
            </w:pPr>
            <w:r>
              <w:rPr>
                <w:rFonts w:hint="eastAsia"/>
                <w:color w:val="auto"/>
                <w:sz w:val="21"/>
                <w:szCs w:val="21"/>
              </w:rPr>
              <w:t>（3）绿化防治区</w:t>
            </w:r>
          </w:p>
          <w:p>
            <w:pPr>
              <w:spacing w:line="240" w:lineRule="exact"/>
              <w:contextualSpacing/>
              <w:jc w:val="left"/>
              <w:rPr>
                <w:color w:val="auto"/>
                <w:sz w:val="21"/>
                <w:szCs w:val="21"/>
              </w:rPr>
            </w:pPr>
            <w:r>
              <w:rPr>
                <w:rFonts w:hint="eastAsia"/>
                <w:color w:val="auto"/>
                <w:sz w:val="21"/>
                <w:szCs w:val="21"/>
              </w:rPr>
              <w:t>工程</w:t>
            </w:r>
            <w:r>
              <w:rPr>
                <w:color w:val="auto"/>
                <w:sz w:val="21"/>
                <w:szCs w:val="21"/>
              </w:rPr>
              <w:t>措施：</w:t>
            </w:r>
            <w:r>
              <w:rPr>
                <w:rFonts w:hint="eastAsia"/>
                <w:color w:val="auto"/>
                <w:sz w:val="21"/>
                <w:szCs w:val="21"/>
              </w:rPr>
              <w:t>全面整地</w:t>
            </w:r>
            <w:r>
              <w:rPr>
                <w:color w:val="auto"/>
                <w:sz w:val="21"/>
                <w:szCs w:val="21"/>
              </w:rPr>
              <w:t>1.30hm</w:t>
            </w:r>
            <w:r>
              <w:rPr>
                <w:color w:val="auto"/>
                <w:sz w:val="21"/>
                <w:szCs w:val="21"/>
                <w:vertAlign w:val="superscript"/>
              </w:rPr>
              <w:t>2</w:t>
            </w:r>
          </w:p>
          <w:p>
            <w:pPr>
              <w:spacing w:line="240" w:lineRule="exact"/>
              <w:contextualSpacing/>
              <w:jc w:val="left"/>
              <w:rPr>
                <w:color w:val="auto"/>
                <w:sz w:val="21"/>
                <w:szCs w:val="21"/>
              </w:rPr>
            </w:pPr>
            <w:r>
              <w:rPr>
                <w:rFonts w:hint="eastAsia"/>
                <w:color w:val="auto"/>
                <w:sz w:val="21"/>
                <w:szCs w:val="21"/>
              </w:rPr>
              <w:t>植物措施：铺设草坪</w:t>
            </w:r>
            <w:r>
              <w:rPr>
                <w:color w:val="auto"/>
                <w:sz w:val="21"/>
                <w:szCs w:val="21"/>
              </w:rPr>
              <w:t>1.60hm</w:t>
            </w:r>
            <w:r>
              <w:rPr>
                <w:color w:val="auto"/>
                <w:sz w:val="21"/>
                <w:szCs w:val="21"/>
                <w:vertAlign w:val="superscript"/>
              </w:rPr>
              <w:t>2</w:t>
            </w:r>
          </w:p>
          <w:p>
            <w:pPr>
              <w:spacing w:line="240" w:lineRule="exact"/>
              <w:contextualSpacing/>
              <w:jc w:val="left"/>
              <w:rPr>
                <w:color w:val="auto"/>
                <w:sz w:val="21"/>
                <w:szCs w:val="21"/>
              </w:rPr>
            </w:pPr>
            <w:r>
              <w:rPr>
                <w:rFonts w:hint="eastAsia"/>
                <w:color w:val="auto"/>
                <w:sz w:val="21"/>
                <w:szCs w:val="21"/>
              </w:rPr>
              <w:t>（4）工业园区管网防治区</w:t>
            </w:r>
          </w:p>
          <w:p>
            <w:pPr>
              <w:spacing w:line="240" w:lineRule="exact"/>
              <w:contextualSpacing/>
              <w:jc w:val="left"/>
              <w:rPr>
                <w:color w:val="auto"/>
                <w:sz w:val="21"/>
                <w:szCs w:val="21"/>
              </w:rPr>
            </w:pPr>
            <w:r>
              <w:rPr>
                <w:rFonts w:hint="eastAsia"/>
                <w:color w:val="auto"/>
                <w:sz w:val="21"/>
                <w:szCs w:val="21"/>
              </w:rPr>
              <w:t>工程</w:t>
            </w:r>
            <w:r>
              <w:rPr>
                <w:color w:val="auto"/>
                <w:sz w:val="21"/>
                <w:szCs w:val="21"/>
              </w:rPr>
              <w:t>措施：</w:t>
            </w:r>
            <w:r>
              <w:rPr>
                <w:rFonts w:hint="eastAsia"/>
                <w:color w:val="auto"/>
                <w:sz w:val="21"/>
                <w:szCs w:val="21"/>
              </w:rPr>
              <w:t>全面整地</w:t>
            </w:r>
            <w:r>
              <w:rPr>
                <w:color w:val="auto"/>
                <w:sz w:val="21"/>
                <w:szCs w:val="21"/>
              </w:rPr>
              <w:t>1.19hm</w:t>
            </w:r>
            <w:r>
              <w:rPr>
                <w:color w:val="auto"/>
                <w:sz w:val="21"/>
                <w:szCs w:val="21"/>
                <w:vertAlign w:val="superscript"/>
              </w:rPr>
              <w:t>2</w:t>
            </w:r>
          </w:p>
          <w:p>
            <w:pPr>
              <w:spacing w:line="240" w:lineRule="exact"/>
              <w:contextualSpacing/>
              <w:jc w:val="left"/>
              <w:rPr>
                <w:color w:val="auto"/>
                <w:sz w:val="21"/>
                <w:szCs w:val="21"/>
              </w:rPr>
            </w:pPr>
            <w:r>
              <w:rPr>
                <w:rFonts w:hint="eastAsia"/>
                <w:color w:val="auto"/>
                <w:sz w:val="21"/>
                <w:szCs w:val="21"/>
              </w:rPr>
              <w:t>植物措施：撒播草籽</w:t>
            </w:r>
            <w:r>
              <w:rPr>
                <w:color w:val="auto"/>
                <w:sz w:val="21"/>
                <w:szCs w:val="21"/>
              </w:rPr>
              <w:t>1.19hm</w:t>
            </w:r>
            <w:r>
              <w:rPr>
                <w:color w:val="auto"/>
                <w:sz w:val="21"/>
                <w:szCs w:val="21"/>
                <w:vertAlign w:val="superscript"/>
              </w:rPr>
              <w:t>2</w:t>
            </w:r>
          </w:p>
          <w:p>
            <w:pPr>
              <w:spacing w:line="240" w:lineRule="exact"/>
              <w:contextualSpacing/>
              <w:jc w:val="left"/>
              <w:rPr>
                <w:color w:val="auto"/>
                <w:sz w:val="21"/>
                <w:szCs w:val="21"/>
              </w:rPr>
            </w:pPr>
            <w:r>
              <w:rPr>
                <w:rFonts w:hint="eastAsia"/>
                <w:color w:val="auto"/>
                <w:sz w:val="21"/>
                <w:szCs w:val="21"/>
              </w:rPr>
              <w:t>临时措施：临时</w:t>
            </w:r>
            <w:r>
              <w:rPr>
                <w:color w:val="auto"/>
                <w:sz w:val="21"/>
                <w:szCs w:val="21"/>
              </w:rPr>
              <w:t>苫盖</w:t>
            </w:r>
            <w:r>
              <w:rPr>
                <w:rFonts w:hint="eastAsia"/>
                <w:color w:val="auto"/>
                <w:sz w:val="21"/>
                <w:szCs w:val="21"/>
              </w:rPr>
              <w:t>及拆除</w:t>
            </w:r>
            <w:r>
              <w:rPr>
                <w:color w:val="auto"/>
                <w:sz w:val="21"/>
                <w:szCs w:val="21"/>
              </w:rPr>
              <w:t>38600m</w:t>
            </w:r>
            <w:r>
              <w:rPr>
                <w:color w:val="auto"/>
                <w:sz w:val="21"/>
                <w:szCs w:val="21"/>
                <w:vertAlign w:val="superscript"/>
              </w:rPr>
              <w:t>2</w:t>
            </w:r>
          </w:p>
          <w:p>
            <w:pPr>
              <w:spacing w:line="240" w:lineRule="exact"/>
              <w:contextualSpacing/>
              <w:jc w:val="left"/>
              <w:rPr>
                <w:color w:val="auto"/>
                <w:sz w:val="21"/>
                <w:szCs w:val="21"/>
              </w:rPr>
            </w:pPr>
            <w:r>
              <w:rPr>
                <w:rFonts w:hint="eastAsia"/>
                <w:color w:val="auto"/>
                <w:sz w:val="21"/>
                <w:szCs w:val="21"/>
              </w:rPr>
              <w:t>（5）施工生产防治区</w:t>
            </w:r>
          </w:p>
          <w:p>
            <w:pPr>
              <w:spacing w:line="240" w:lineRule="exact"/>
              <w:contextualSpacing/>
              <w:jc w:val="left"/>
              <w:rPr>
                <w:color w:val="auto"/>
                <w:sz w:val="21"/>
                <w:szCs w:val="21"/>
              </w:rPr>
            </w:pPr>
            <w:r>
              <w:rPr>
                <w:rFonts w:hint="eastAsia"/>
                <w:color w:val="auto"/>
                <w:sz w:val="21"/>
                <w:szCs w:val="21"/>
              </w:rPr>
              <w:t>工程</w:t>
            </w:r>
            <w:r>
              <w:rPr>
                <w:color w:val="auto"/>
                <w:sz w:val="21"/>
                <w:szCs w:val="21"/>
              </w:rPr>
              <w:t>措施：</w:t>
            </w:r>
            <w:r>
              <w:rPr>
                <w:rFonts w:hint="eastAsia"/>
                <w:color w:val="auto"/>
                <w:sz w:val="21"/>
                <w:szCs w:val="21"/>
              </w:rPr>
              <w:t>全面整地</w:t>
            </w:r>
            <w:r>
              <w:rPr>
                <w:color w:val="auto"/>
                <w:sz w:val="21"/>
                <w:szCs w:val="21"/>
              </w:rPr>
              <w:t>0.10hm</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restart"/>
            <w:shd w:val="clear" w:color="auto" w:fill="auto"/>
            <w:vAlign w:val="center"/>
          </w:tcPr>
          <w:p>
            <w:pPr>
              <w:spacing w:line="240" w:lineRule="exact"/>
              <w:contextualSpacing/>
              <w:jc w:val="center"/>
              <w:rPr>
                <w:color w:val="auto"/>
                <w:sz w:val="21"/>
                <w:szCs w:val="21"/>
              </w:rPr>
            </w:pPr>
            <w:r>
              <w:rPr>
                <w:color w:val="auto"/>
                <w:sz w:val="21"/>
                <w:szCs w:val="21"/>
              </w:rPr>
              <w:t>水土保持投资估算（万元）</w:t>
            </w:r>
          </w:p>
        </w:tc>
        <w:tc>
          <w:tcPr>
            <w:tcW w:w="994"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工程措施</w:t>
            </w:r>
          </w:p>
        </w:tc>
        <w:tc>
          <w:tcPr>
            <w:tcW w:w="1267" w:type="pct"/>
            <w:gridSpan w:val="5"/>
            <w:shd w:val="clear" w:color="auto" w:fill="auto"/>
            <w:noWrap/>
            <w:vAlign w:val="center"/>
          </w:tcPr>
          <w:p>
            <w:pPr>
              <w:spacing w:line="240" w:lineRule="exact"/>
              <w:contextualSpacing/>
              <w:jc w:val="center"/>
              <w:rPr>
                <w:color w:val="auto"/>
                <w:sz w:val="21"/>
                <w:szCs w:val="21"/>
              </w:rPr>
            </w:pPr>
            <w:r>
              <w:rPr>
                <w:rFonts w:hint="eastAsia"/>
                <w:color w:val="auto"/>
                <w:sz w:val="21"/>
                <w:szCs w:val="21"/>
              </w:rPr>
              <w:t>6</w:t>
            </w:r>
            <w:r>
              <w:rPr>
                <w:color w:val="auto"/>
                <w:sz w:val="21"/>
                <w:szCs w:val="21"/>
              </w:rPr>
              <w:t>1.59</w:t>
            </w:r>
          </w:p>
        </w:tc>
        <w:tc>
          <w:tcPr>
            <w:tcW w:w="1252"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植物措施</w:t>
            </w:r>
          </w:p>
        </w:tc>
        <w:tc>
          <w:tcPr>
            <w:tcW w:w="759" w:type="pct"/>
            <w:shd w:val="clear" w:color="auto" w:fill="auto"/>
            <w:noWrap/>
            <w:vAlign w:val="center"/>
          </w:tcPr>
          <w:p>
            <w:pPr>
              <w:spacing w:line="240" w:lineRule="exact"/>
              <w:contextualSpacing/>
              <w:jc w:val="center"/>
              <w:rPr>
                <w:color w:val="auto"/>
                <w:sz w:val="21"/>
                <w:szCs w:val="21"/>
              </w:rPr>
            </w:pPr>
            <w:r>
              <w:rPr>
                <w:color w:val="auto"/>
                <w:sz w:val="21"/>
                <w:szCs w:val="21"/>
              </w:rPr>
              <w:t>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994"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临时措施</w:t>
            </w:r>
          </w:p>
        </w:tc>
        <w:tc>
          <w:tcPr>
            <w:tcW w:w="1267"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20.41</w:t>
            </w:r>
          </w:p>
        </w:tc>
        <w:tc>
          <w:tcPr>
            <w:tcW w:w="1252" w:type="pct"/>
            <w:gridSpan w:val="4"/>
            <w:shd w:val="clear" w:color="auto" w:fill="auto"/>
            <w:noWrap/>
            <w:vAlign w:val="center"/>
          </w:tcPr>
          <w:p>
            <w:pPr>
              <w:spacing w:line="240" w:lineRule="exact"/>
              <w:contextualSpacing/>
              <w:jc w:val="center"/>
              <w:rPr>
                <w:color w:val="auto"/>
                <w:sz w:val="21"/>
                <w:szCs w:val="21"/>
              </w:rPr>
            </w:pPr>
            <w:r>
              <w:rPr>
                <w:color w:val="auto"/>
                <w:sz w:val="21"/>
                <w:szCs w:val="21"/>
              </w:rPr>
              <w:t>水土保持补偿费</w:t>
            </w:r>
          </w:p>
        </w:tc>
        <w:tc>
          <w:tcPr>
            <w:tcW w:w="759" w:type="pct"/>
            <w:shd w:val="clear" w:color="auto" w:fill="auto"/>
            <w:noWrap/>
            <w:vAlign w:val="center"/>
          </w:tcPr>
          <w:p>
            <w:pPr>
              <w:spacing w:line="240" w:lineRule="exact"/>
              <w:contextualSpacing/>
              <w:jc w:val="center"/>
              <w:rPr>
                <w:color w:val="auto"/>
                <w:sz w:val="21"/>
                <w:szCs w:val="21"/>
              </w:rPr>
            </w:pPr>
            <w:r>
              <w:rPr>
                <w:color w:val="auto"/>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994" w:type="pct"/>
            <w:gridSpan w:val="2"/>
            <w:vMerge w:val="restart"/>
            <w:shd w:val="clear" w:color="auto" w:fill="auto"/>
            <w:noWrap/>
            <w:vAlign w:val="center"/>
          </w:tcPr>
          <w:p>
            <w:pPr>
              <w:spacing w:line="240" w:lineRule="exact"/>
              <w:contextualSpacing/>
              <w:jc w:val="center"/>
              <w:rPr>
                <w:color w:val="auto"/>
                <w:sz w:val="21"/>
                <w:szCs w:val="21"/>
              </w:rPr>
            </w:pPr>
            <w:r>
              <w:rPr>
                <w:color w:val="auto"/>
                <w:sz w:val="21"/>
                <w:szCs w:val="21"/>
              </w:rPr>
              <w:t>独立费用</w:t>
            </w:r>
          </w:p>
        </w:tc>
        <w:tc>
          <w:tcPr>
            <w:tcW w:w="1267"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建设管理费</w:t>
            </w:r>
          </w:p>
        </w:tc>
        <w:tc>
          <w:tcPr>
            <w:tcW w:w="2011"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994" w:type="pct"/>
            <w:gridSpan w:val="2"/>
            <w:vMerge w:val="continue"/>
            <w:vAlign w:val="center"/>
          </w:tcPr>
          <w:p>
            <w:pPr>
              <w:spacing w:line="240" w:lineRule="exact"/>
              <w:contextualSpacing/>
              <w:rPr>
                <w:color w:val="auto"/>
                <w:sz w:val="21"/>
                <w:szCs w:val="21"/>
              </w:rPr>
            </w:pPr>
          </w:p>
        </w:tc>
        <w:tc>
          <w:tcPr>
            <w:tcW w:w="1267"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水土保持监理费</w:t>
            </w:r>
          </w:p>
        </w:tc>
        <w:tc>
          <w:tcPr>
            <w:tcW w:w="2011"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994" w:type="pct"/>
            <w:gridSpan w:val="2"/>
            <w:vMerge w:val="continue"/>
            <w:vAlign w:val="center"/>
          </w:tcPr>
          <w:p>
            <w:pPr>
              <w:spacing w:line="240" w:lineRule="exact"/>
              <w:contextualSpacing/>
              <w:rPr>
                <w:color w:val="auto"/>
                <w:sz w:val="21"/>
                <w:szCs w:val="21"/>
              </w:rPr>
            </w:pPr>
          </w:p>
        </w:tc>
        <w:tc>
          <w:tcPr>
            <w:tcW w:w="1267"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水土保持设施验收费</w:t>
            </w:r>
          </w:p>
        </w:tc>
        <w:tc>
          <w:tcPr>
            <w:tcW w:w="2011" w:type="pct"/>
            <w:gridSpan w:val="5"/>
            <w:shd w:val="clear" w:color="auto" w:fill="auto"/>
            <w:noWrap/>
            <w:vAlign w:val="center"/>
          </w:tcPr>
          <w:p>
            <w:pPr>
              <w:spacing w:line="240" w:lineRule="exact"/>
              <w:contextualSpacing/>
              <w:jc w:val="center"/>
              <w:rPr>
                <w:color w:val="auto"/>
                <w:sz w:val="21"/>
                <w:szCs w:val="21"/>
              </w:rPr>
            </w:pPr>
            <w:r>
              <w:rPr>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28" w:type="pct"/>
            <w:gridSpan w:val="2"/>
            <w:vMerge w:val="continue"/>
            <w:vAlign w:val="center"/>
          </w:tcPr>
          <w:p>
            <w:pPr>
              <w:spacing w:line="240" w:lineRule="exact"/>
              <w:contextualSpacing/>
              <w:rPr>
                <w:color w:val="auto"/>
                <w:sz w:val="21"/>
                <w:szCs w:val="21"/>
              </w:rPr>
            </w:pPr>
          </w:p>
        </w:tc>
        <w:tc>
          <w:tcPr>
            <w:tcW w:w="994" w:type="pct"/>
            <w:gridSpan w:val="2"/>
            <w:shd w:val="clear" w:color="auto" w:fill="auto"/>
            <w:noWrap/>
            <w:vAlign w:val="center"/>
          </w:tcPr>
          <w:p>
            <w:pPr>
              <w:spacing w:line="240" w:lineRule="exact"/>
              <w:contextualSpacing/>
              <w:jc w:val="center"/>
              <w:rPr>
                <w:color w:val="auto"/>
                <w:sz w:val="21"/>
                <w:szCs w:val="21"/>
              </w:rPr>
            </w:pPr>
            <w:r>
              <w:rPr>
                <w:color w:val="auto"/>
                <w:sz w:val="21"/>
                <w:szCs w:val="21"/>
              </w:rPr>
              <w:t>总投资</w:t>
            </w:r>
          </w:p>
        </w:tc>
        <w:tc>
          <w:tcPr>
            <w:tcW w:w="3278" w:type="pct"/>
            <w:gridSpan w:val="10"/>
            <w:shd w:val="clear" w:color="auto" w:fill="auto"/>
            <w:noWrap/>
            <w:vAlign w:val="center"/>
          </w:tcPr>
          <w:p>
            <w:pPr>
              <w:spacing w:line="240" w:lineRule="exact"/>
              <w:contextualSpacing/>
              <w:jc w:val="center"/>
              <w:rPr>
                <w:color w:val="auto"/>
                <w:sz w:val="21"/>
                <w:szCs w:val="21"/>
              </w:rPr>
            </w:pPr>
            <w:r>
              <w:rPr>
                <w:color w:val="auto"/>
                <w:sz w:val="21"/>
                <w:szCs w:val="21"/>
              </w:rPr>
              <w:t>106.52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编制单位</w:t>
            </w:r>
          </w:p>
        </w:tc>
        <w:tc>
          <w:tcPr>
            <w:tcW w:w="1334" w:type="pct"/>
            <w:gridSpan w:val="5"/>
            <w:shd w:val="clear" w:color="auto" w:fill="auto"/>
            <w:vAlign w:val="center"/>
          </w:tcPr>
          <w:p>
            <w:pPr>
              <w:widowControl/>
              <w:adjustRightInd w:val="0"/>
              <w:snapToGrid w:val="0"/>
              <w:spacing w:line="240" w:lineRule="exact"/>
              <w:contextualSpacing/>
              <w:jc w:val="center"/>
              <w:rPr>
                <w:color w:val="auto"/>
                <w:kern w:val="0"/>
                <w:sz w:val="21"/>
                <w:szCs w:val="18"/>
              </w:rPr>
            </w:pPr>
            <w:r>
              <w:rPr>
                <w:rFonts w:hint="eastAsia"/>
                <w:color w:val="auto"/>
                <w:sz w:val="21"/>
                <w:szCs w:val="18"/>
              </w:rPr>
              <w:t>黑龙江鑫丰智慧空间科技有限公司</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建设单位</w:t>
            </w:r>
          </w:p>
        </w:tc>
        <w:tc>
          <w:tcPr>
            <w:tcW w:w="1446" w:type="pct"/>
            <w:gridSpan w:val="3"/>
            <w:noWrap/>
            <w:vAlign w:val="center"/>
          </w:tcPr>
          <w:p>
            <w:pPr>
              <w:adjustRightInd w:val="0"/>
              <w:snapToGrid w:val="0"/>
              <w:spacing w:line="240" w:lineRule="exact"/>
              <w:contextualSpacing/>
              <w:jc w:val="center"/>
              <w:rPr>
                <w:color w:val="auto"/>
                <w:sz w:val="21"/>
                <w:szCs w:val="18"/>
              </w:rPr>
            </w:pPr>
            <w:r>
              <w:rPr>
                <w:color w:val="auto"/>
                <w:sz w:val="21"/>
                <w:szCs w:val="18"/>
              </w:rPr>
              <w:t>鸡西市麻山区住房和城乡建设局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法人代表及电话</w:t>
            </w:r>
          </w:p>
        </w:tc>
        <w:tc>
          <w:tcPr>
            <w:tcW w:w="1334" w:type="pct"/>
            <w:gridSpan w:val="5"/>
            <w:shd w:val="clear" w:color="auto" w:fill="auto"/>
            <w:vAlign w:val="center"/>
          </w:tcPr>
          <w:p>
            <w:pPr>
              <w:widowControl/>
              <w:adjustRightInd w:val="0"/>
              <w:snapToGrid w:val="0"/>
              <w:spacing w:line="240" w:lineRule="exact"/>
              <w:contextualSpacing/>
              <w:jc w:val="center"/>
              <w:rPr>
                <w:color w:val="auto"/>
                <w:kern w:val="0"/>
                <w:sz w:val="21"/>
                <w:szCs w:val="18"/>
              </w:rPr>
            </w:pPr>
            <w:r>
              <w:rPr>
                <w:rFonts w:hint="eastAsia"/>
                <w:color w:val="auto"/>
                <w:sz w:val="21"/>
                <w:szCs w:val="18"/>
              </w:rPr>
              <w:t>黄文斌</w:t>
            </w:r>
            <w:r>
              <w:rPr>
                <w:color w:val="auto"/>
                <w:sz w:val="21"/>
                <w:szCs w:val="18"/>
              </w:rPr>
              <w:t xml:space="preserve">  18846811558</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法人代表及电话</w:t>
            </w:r>
          </w:p>
        </w:tc>
        <w:tc>
          <w:tcPr>
            <w:tcW w:w="1446" w:type="pct"/>
            <w:gridSpan w:val="3"/>
            <w:noWrap/>
            <w:vAlign w:val="center"/>
          </w:tcPr>
          <w:p>
            <w:pPr>
              <w:adjustRightInd w:val="0"/>
              <w:snapToGrid w:val="0"/>
              <w:spacing w:line="240" w:lineRule="exact"/>
              <w:contextualSpacing/>
              <w:jc w:val="center"/>
              <w:rPr>
                <w:rFonts w:hint="eastAsia" w:eastAsia="仿宋_GB2312"/>
                <w:color w:val="auto"/>
                <w:sz w:val="21"/>
                <w:szCs w:val="18"/>
                <w:lang w:val="en-US" w:eastAsia="zh-CN"/>
              </w:rPr>
            </w:pPr>
            <w:r>
              <w:rPr>
                <w:rFonts w:hint="eastAsia"/>
                <w:color w:val="auto"/>
                <w:sz w:val="21"/>
                <w:szCs w:val="18"/>
              </w:rPr>
              <w:t>邢志学</w:t>
            </w:r>
            <w:r>
              <w:rPr>
                <w:rFonts w:hint="eastAsia"/>
                <w:color w:val="auto"/>
                <w:sz w:val="21"/>
                <w:szCs w:val="18"/>
                <w:lang w:val="en-US" w:eastAsia="zh-CN"/>
              </w:rPr>
              <w:t xml:space="preserve"> 13946838861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地址</w:t>
            </w:r>
          </w:p>
        </w:tc>
        <w:tc>
          <w:tcPr>
            <w:tcW w:w="1334" w:type="pct"/>
            <w:gridSpan w:val="5"/>
            <w:shd w:val="clear" w:color="auto" w:fill="auto"/>
            <w:vAlign w:val="center"/>
          </w:tcPr>
          <w:p>
            <w:pPr>
              <w:widowControl/>
              <w:adjustRightInd w:val="0"/>
              <w:snapToGrid w:val="0"/>
              <w:spacing w:line="240" w:lineRule="exact"/>
              <w:contextualSpacing/>
              <w:jc w:val="center"/>
              <w:rPr>
                <w:color w:val="auto"/>
                <w:kern w:val="0"/>
                <w:sz w:val="21"/>
                <w:szCs w:val="18"/>
              </w:rPr>
            </w:pPr>
            <w:r>
              <w:rPr>
                <w:rFonts w:hint="eastAsia"/>
                <w:color w:val="auto"/>
                <w:kern w:val="1"/>
                <w:sz w:val="21"/>
                <w:szCs w:val="18"/>
              </w:rPr>
              <w:t>黑龙江省鸡西市麻山区麻山镇麻山村</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地址</w:t>
            </w:r>
          </w:p>
        </w:tc>
        <w:tc>
          <w:tcPr>
            <w:tcW w:w="1446" w:type="pct"/>
            <w:gridSpan w:val="3"/>
            <w:noWrap/>
            <w:vAlign w:val="center"/>
          </w:tcPr>
          <w:p>
            <w:pPr>
              <w:adjustRightInd w:val="0"/>
              <w:snapToGrid w:val="0"/>
              <w:spacing w:line="240" w:lineRule="exact"/>
              <w:contextualSpacing/>
              <w:jc w:val="center"/>
              <w:rPr>
                <w:color w:val="auto"/>
                <w:kern w:val="1"/>
                <w:sz w:val="21"/>
                <w:szCs w:val="18"/>
              </w:rPr>
            </w:pPr>
            <w:r>
              <w:rPr>
                <w:rFonts w:hint="eastAsia"/>
                <w:color w:val="auto"/>
                <w:kern w:val="1"/>
                <w:sz w:val="21"/>
                <w:szCs w:val="18"/>
              </w:rPr>
              <w:t xml:space="preserve">麻山区建国街政府B座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邮编</w:t>
            </w:r>
          </w:p>
        </w:tc>
        <w:tc>
          <w:tcPr>
            <w:tcW w:w="1334" w:type="pct"/>
            <w:gridSpan w:val="5"/>
            <w:shd w:val="clear" w:color="auto" w:fill="auto"/>
            <w:vAlign w:val="center"/>
          </w:tcPr>
          <w:p>
            <w:pPr>
              <w:widowControl/>
              <w:adjustRightInd w:val="0"/>
              <w:snapToGrid w:val="0"/>
              <w:spacing w:line="240" w:lineRule="exact"/>
              <w:contextualSpacing/>
              <w:jc w:val="center"/>
              <w:rPr>
                <w:color w:val="auto"/>
                <w:kern w:val="0"/>
                <w:sz w:val="21"/>
                <w:szCs w:val="18"/>
              </w:rPr>
            </w:pPr>
            <w:r>
              <w:rPr>
                <w:rFonts w:hint="eastAsia"/>
                <w:color w:val="auto"/>
                <w:sz w:val="21"/>
                <w:szCs w:val="18"/>
              </w:rPr>
              <w:t>158100</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邮编</w:t>
            </w:r>
          </w:p>
        </w:tc>
        <w:tc>
          <w:tcPr>
            <w:tcW w:w="1446" w:type="pct"/>
            <w:gridSpan w:val="3"/>
            <w:noWrap/>
            <w:vAlign w:val="center"/>
          </w:tcPr>
          <w:p>
            <w:pPr>
              <w:adjustRightInd w:val="0"/>
              <w:snapToGrid w:val="0"/>
              <w:spacing w:line="240" w:lineRule="exact"/>
              <w:contextualSpacing/>
              <w:jc w:val="center"/>
              <w:rPr>
                <w:color w:val="auto"/>
                <w:sz w:val="21"/>
                <w:szCs w:val="18"/>
              </w:rPr>
            </w:pPr>
            <w:r>
              <w:rPr>
                <w:rFonts w:ascii="Arial" w:hAnsi="Arial" w:eastAsia="宋体" w:cs="Arial"/>
                <w:i w:val="0"/>
                <w:iCs w:val="0"/>
                <w:caps w:val="0"/>
                <w:color w:val="333333"/>
                <w:spacing w:val="0"/>
                <w:sz w:val="16"/>
                <w:szCs w:val="16"/>
                <w:shd w:val="clear" w:fill="FFFFFF"/>
              </w:rPr>
              <w:t>158100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联系人及电话</w:t>
            </w:r>
          </w:p>
        </w:tc>
        <w:tc>
          <w:tcPr>
            <w:tcW w:w="1334" w:type="pct"/>
            <w:gridSpan w:val="5"/>
            <w:shd w:val="clear" w:color="auto" w:fill="auto"/>
            <w:vAlign w:val="center"/>
          </w:tcPr>
          <w:p>
            <w:pPr>
              <w:widowControl/>
              <w:adjustRightInd w:val="0"/>
              <w:snapToGrid w:val="0"/>
              <w:spacing w:line="240" w:lineRule="exact"/>
              <w:contextualSpacing/>
              <w:jc w:val="center"/>
              <w:rPr>
                <w:color w:val="auto"/>
                <w:kern w:val="0"/>
                <w:sz w:val="21"/>
                <w:szCs w:val="18"/>
              </w:rPr>
            </w:pPr>
            <w:r>
              <w:rPr>
                <w:rFonts w:hint="eastAsia"/>
                <w:color w:val="auto"/>
                <w:kern w:val="0"/>
                <w:sz w:val="21"/>
                <w:szCs w:val="18"/>
              </w:rPr>
              <w:t>纪莹 15645666915</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联系人及电话</w:t>
            </w:r>
          </w:p>
        </w:tc>
        <w:tc>
          <w:tcPr>
            <w:tcW w:w="1446" w:type="pct"/>
            <w:gridSpan w:val="3"/>
            <w:noWrap/>
            <w:vAlign w:val="center"/>
          </w:tcPr>
          <w:p>
            <w:pPr>
              <w:adjustRightInd w:val="0"/>
              <w:snapToGrid w:val="0"/>
              <w:spacing w:line="240" w:lineRule="exact"/>
              <w:contextualSpacing/>
              <w:jc w:val="center"/>
              <w:rPr>
                <w:color w:val="auto"/>
                <w:sz w:val="21"/>
                <w:szCs w:val="18"/>
              </w:rPr>
            </w:pPr>
            <w:r>
              <w:rPr>
                <w:rFonts w:hint="eastAsia"/>
                <w:color w:val="auto"/>
                <w:sz w:val="21"/>
                <w:szCs w:val="18"/>
              </w:rPr>
              <w:t>邢志学</w:t>
            </w:r>
            <w:r>
              <w:rPr>
                <w:rFonts w:hint="eastAsia"/>
                <w:color w:val="auto"/>
                <w:sz w:val="21"/>
                <w:szCs w:val="18"/>
                <w:lang w:val="en-US" w:eastAsia="zh-CN"/>
              </w:rPr>
              <w:t xml:space="preserve"> 13946838861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电子邮箱</w:t>
            </w:r>
          </w:p>
        </w:tc>
        <w:tc>
          <w:tcPr>
            <w:tcW w:w="1334" w:type="pct"/>
            <w:gridSpan w:val="5"/>
            <w:shd w:val="clear" w:color="auto" w:fill="auto"/>
            <w:vAlign w:val="center"/>
          </w:tcPr>
          <w:p>
            <w:pPr>
              <w:widowControl/>
              <w:adjustRightInd w:val="0"/>
              <w:snapToGrid w:val="0"/>
              <w:spacing w:line="240" w:lineRule="exact"/>
              <w:contextualSpacing/>
              <w:jc w:val="center"/>
              <w:rPr>
                <w:color w:val="auto"/>
                <w:kern w:val="0"/>
                <w:sz w:val="21"/>
                <w:szCs w:val="18"/>
              </w:rPr>
            </w:pPr>
            <w:r>
              <w:rPr>
                <w:color w:val="auto"/>
                <w:kern w:val="0"/>
                <w:sz w:val="21"/>
                <w:szCs w:val="18"/>
              </w:rPr>
              <w:t>33693076@qq.com</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电子邮箱</w:t>
            </w:r>
          </w:p>
        </w:tc>
        <w:tc>
          <w:tcPr>
            <w:tcW w:w="1446" w:type="pct"/>
            <w:gridSpan w:val="3"/>
            <w:shd w:val="clear" w:color="auto" w:fill="auto"/>
            <w:noWrap/>
            <w:vAlign w:val="center"/>
          </w:tcPr>
          <w:p>
            <w:pPr>
              <w:spacing w:line="240" w:lineRule="exact"/>
              <w:contextualSpacing/>
              <w:jc w:val="center"/>
              <w:rPr>
                <w:color w:val="auto"/>
                <w:sz w:val="21"/>
                <w:szCs w:val="21"/>
              </w:rPr>
            </w:pPr>
            <w:r>
              <w:rPr>
                <w:rFonts w:hint="eastAsia"/>
                <w:color w:val="auto"/>
                <w:sz w:val="21"/>
                <w:szCs w:val="21"/>
              </w:rPr>
              <w:t>msqcxjsj@163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传真</w:t>
            </w:r>
          </w:p>
        </w:tc>
        <w:tc>
          <w:tcPr>
            <w:tcW w:w="1334" w:type="pct"/>
            <w:gridSpan w:val="5"/>
            <w:shd w:val="clear" w:color="auto" w:fill="auto"/>
            <w:vAlign w:val="center"/>
          </w:tcPr>
          <w:p>
            <w:pPr>
              <w:adjustRightInd w:val="0"/>
              <w:snapToGrid w:val="0"/>
              <w:spacing w:line="240" w:lineRule="exact"/>
              <w:contextualSpacing/>
              <w:jc w:val="center"/>
              <w:rPr>
                <w:color w:val="auto"/>
                <w:sz w:val="21"/>
                <w:szCs w:val="21"/>
              </w:rPr>
            </w:pPr>
            <w:r>
              <w:rPr>
                <w:color w:val="auto"/>
                <w:sz w:val="21"/>
                <w:szCs w:val="21"/>
              </w:rPr>
              <w:t>/</w:t>
            </w:r>
          </w:p>
        </w:tc>
        <w:tc>
          <w:tcPr>
            <w:tcW w:w="1078"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传真</w:t>
            </w:r>
          </w:p>
        </w:tc>
        <w:tc>
          <w:tcPr>
            <w:tcW w:w="1446" w:type="pct"/>
            <w:gridSpan w:val="3"/>
            <w:shd w:val="clear" w:color="auto" w:fill="auto"/>
            <w:noWrap/>
            <w:vAlign w:val="center"/>
          </w:tcPr>
          <w:p>
            <w:pPr>
              <w:spacing w:line="240" w:lineRule="exact"/>
              <w:contextualSpacing/>
              <w:jc w:val="center"/>
              <w:rPr>
                <w:color w:val="auto"/>
                <w:sz w:val="21"/>
                <w:szCs w:val="21"/>
              </w:rPr>
            </w:pPr>
            <w:r>
              <w:rPr>
                <w:color w:val="auto"/>
                <w:sz w:val="21"/>
                <w:szCs w:val="21"/>
              </w:rPr>
              <w:t>/</w:t>
            </w:r>
          </w:p>
        </w:tc>
      </w:tr>
    </w:tbl>
    <w:p>
      <w:pPr>
        <w:pStyle w:val="32"/>
        <w:contextualSpacing/>
        <w:rPr>
          <w:color w:val="auto"/>
        </w:rPr>
        <w:sectPr>
          <w:headerReference r:id="rId8" w:type="default"/>
          <w:footerReference r:id="rId9" w:type="default"/>
          <w:pgSz w:w="11906" w:h="16838"/>
          <w:pgMar w:top="1440" w:right="1800" w:bottom="1440" w:left="1800" w:header="851" w:footer="992" w:gutter="0"/>
          <w:pgNumType w:fmt="upperRoman"/>
          <w:cols w:space="425" w:num="1"/>
          <w:docGrid w:type="lines" w:linePitch="312" w:charSpace="0"/>
        </w:sectPr>
      </w:pPr>
      <w:bookmarkStart w:id="249" w:name="_GoBack"/>
      <w:bookmarkEnd w:id="249"/>
    </w:p>
    <w:p>
      <w:pPr>
        <w:spacing w:line="360" w:lineRule="auto"/>
        <w:contextualSpacing/>
        <w:jc w:val="left"/>
        <w:outlineLvl w:val="0"/>
        <w:rPr>
          <w:color w:val="auto"/>
          <w:sz w:val="36"/>
          <w:szCs w:val="36"/>
        </w:rPr>
      </w:pPr>
      <w:bookmarkStart w:id="7" w:name="_Toc145530034"/>
      <w:bookmarkStart w:id="8" w:name="_Toc522647688"/>
      <w:bookmarkStart w:id="9" w:name="_Toc521945554"/>
      <w:r>
        <w:rPr>
          <w:color w:val="auto"/>
          <w:sz w:val="36"/>
          <w:szCs w:val="36"/>
        </w:rPr>
        <w:t>附件</w:t>
      </w:r>
      <w:bookmarkEnd w:id="7"/>
    </w:p>
    <w:p>
      <w:pPr>
        <w:spacing w:line="360" w:lineRule="auto"/>
        <w:contextualSpacing/>
        <w:jc w:val="center"/>
        <w:outlineLvl w:val="0"/>
        <w:rPr>
          <w:b/>
          <w:bCs/>
          <w:color w:val="auto"/>
          <w:sz w:val="36"/>
          <w:szCs w:val="36"/>
        </w:rPr>
      </w:pPr>
      <w:bookmarkStart w:id="10" w:name="_Toc145530035"/>
      <w:r>
        <w:rPr>
          <w:b/>
          <w:bCs/>
          <w:color w:val="auto"/>
          <w:sz w:val="36"/>
          <w:szCs w:val="36"/>
        </w:rPr>
        <w:t>1 综合说明</w:t>
      </w:r>
      <w:bookmarkEnd w:id="8"/>
      <w:bookmarkEnd w:id="9"/>
      <w:bookmarkEnd w:id="10"/>
    </w:p>
    <w:p>
      <w:pPr>
        <w:spacing w:line="360" w:lineRule="auto"/>
        <w:contextualSpacing/>
        <w:outlineLvl w:val="1"/>
        <w:rPr>
          <w:b/>
          <w:bCs/>
          <w:color w:val="auto"/>
          <w:sz w:val="30"/>
          <w:szCs w:val="30"/>
        </w:rPr>
      </w:pPr>
      <w:bookmarkStart w:id="11" w:name="_Toc522647689"/>
      <w:bookmarkStart w:id="12" w:name="_Toc521945555"/>
      <w:bookmarkStart w:id="13" w:name="_Toc145530036"/>
      <w:r>
        <w:rPr>
          <w:b/>
          <w:bCs/>
          <w:color w:val="auto"/>
          <w:sz w:val="30"/>
          <w:szCs w:val="30"/>
        </w:rPr>
        <w:t>1.1 项目简况</w:t>
      </w:r>
      <w:bookmarkEnd w:id="11"/>
      <w:bookmarkEnd w:id="12"/>
      <w:bookmarkEnd w:id="13"/>
    </w:p>
    <w:p>
      <w:pPr>
        <w:adjustRightInd w:val="0"/>
        <w:snapToGrid w:val="0"/>
        <w:spacing w:line="360" w:lineRule="auto"/>
        <w:contextualSpacing/>
        <w:outlineLvl w:val="2"/>
        <w:rPr>
          <w:b/>
          <w:bCs/>
          <w:color w:val="auto"/>
          <w:sz w:val="28"/>
          <w:szCs w:val="28"/>
        </w:rPr>
      </w:pPr>
      <w:bookmarkStart w:id="14" w:name="_Toc521945556"/>
      <w:r>
        <w:rPr>
          <w:b/>
          <w:bCs/>
          <w:color w:val="auto"/>
          <w:sz w:val="28"/>
          <w:szCs w:val="28"/>
        </w:rPr>
        <w:t>1.1.1项目</w:t>
      </w:r>
      <w:bookmarkEnd w:id="14"/>
      <w:r>
        <w:rPr>
          <w:b/>
          <w:bCs/>
          <w:color w:val="auto"/>
          <w:sz w:val="28"/>
          <w:szCs w:val="28"/>
        </w:rPr>
        <w:t>基本情况</w:t>
      </w:r>
    </w:p>
    <w:p>
      <w:pPr>
        <w:adjustRightInd w:val="0"/>
        <w:snapToGrid w:val="0"/>
        <w:spacing w:line="360" w:lineRule="auto"/>
        <w:contextualSpacing/>
        <w:outlineLvl w:val="2"/>
        <w:rPr>
          <w:b/>
          <w:bCs/>
          <w:color w:val="auto"/>
          <w:sz w:val="24"/>
        </w:rPr>
      </w:pPr>
      <w:r>
        <w:rPr>
          <w:b/>
          <w:bCs/>
          <w:color w:val="auto"/>
          <w:sz w:val="24"/>
        </w:rPr>
        <w:t>1.1.1.1建设必要性</w:t>
      </w:r>
    </w:p>
    <w:p>
      <w:pPr>
        <w:spacing w:line="360" w:lineRule="auto"/>
        <w:ind w:firstLine="480" w:firstLineChars="200"/>
        <w:contextualSpacing/>
        <w:rPr>
          <w:color w:val="auto"/>
          <w:sz w:val="24"/>
        </w:rPr>
      </w:pPr>
      <w:r>
        <w:rPr>
          <w:rFonts w:hint="eastAsia"/>
          <w:color w:val="auto"/>
          <w:sz w:val="24"/>
        </w:rPr>
        <w:t>园区近期将石墨深加工产能提高至十万吨/年，污水排放量随之达到4000m</w:t>
      </w:r>
      <w:r>
        <w:rPr>
          <w:rFonts w:hint="eastAsia"/>
          <w:color w:val="auto"/>
          <w:sz w:val="24"/>
          <w:vertAlign w:val="superscript"/>
        </w:rPr>
        <w:t>3</w:t>
      </w:r>
      <w:r>
        <w:rPr>
          <w:rFonts w:hint="eastAsia"/>
          <w:color w:val="auto"/>
          <w:sz w:val="24"/>
        </w:rPr>
        <w:t>/d以上，一期污水厂2000m</w:t>
      </w:r>
      <w:r>
        <w:rPr>
          <w:rFonts w:hint="eastAsia"/>
          <w:color w:val="auto"/>
          <w:sz w:val="24"/>
          <w:vertAlign w:val="superscript"/>
        </w:rPr>
        <w:t>3</w:t>
      </w:r>
      <w:r>
        <w:rPr>
          <w:rFonts w:hint="eastAsia"/>
          <w:color w:val="auto"/>
          <w:sz w:val="24"/>
        </w:rPr>
        <w:t>/d的处理能力无法满足园区发展的需要。本项目的最终收纳水体穆棱河污染物总量已超标，不能再容纳新增的污水量，导致园区新增企业的污水没有了去处。目前园区内各企业用水均来自自备井，对环境破坏严重，后期都要取缔，因此企业的用水压力也将要凸显。本项目通过污水的回用，不仅解决了污水不能排入水体流域的问题，同时也解决了企业的用水难。因此，该项目建设是十分必要的。</w:t>
      </w:r>
    </w:p>
    <w:p>
      <w:pPr>
        <w:adjustRightInd w:val="0"/>
        <w:snapToGrid w:val="0"/>
        <w:spacing w:line="360" w:lineRule="auto"/>
        <w:contextualSpacing/>
        <w:outlineLvl w:val="2"/>
        <w:rPr>
          <w:b/>
          <w:bCs/>
          <w:color w:val="auto"/>
          <w:sz w:val="24"/>
        </w:rPr>
      </w:pPr>
      <w:r>
        <w:rPr>
          <w:b/>
          <w:bCs/>
          <w:color w:val="auto"/>
          <w:sz w:val="24"/>
        </w:rPr>
        <w:t>1.1.1.2项目概况</w:t>
      </w:r>
    </w:p>
    <w:p>
      <w:pPr>
        <w:spacing w:line="360" w:lineRule="auto"/>
        <w:ind w:firstLine="480" w:firstLineChars="200"/>
        <w:contextualSpacing/>
        <w:rPr>
          <w:color w:val="auto"/>
          <w:sz w:val="24"/>
        </w:rPr>
      </w:pPr>
      <w:r>
        <w:rPr>
          <w:color w:val="auto"/>
          <w:sz w:val="24"/>
        </w:rPr>
        <w:t>本项目位于黑龙江省</w:t>
      </w:r>
      <w:r>
        <w:rPr>
          <w:rFonts w:hint="eastAsia"/>
          <w:color w:val="auto"/>
          <w:sz w:val="24"/>
        </w:rPr>
        <w:t>鸡西市麻山区石墨产业园区一期污水处理厂西侧，北侧为园区规划七路和方虎公路，东侧为规划三街。</w:t>
      </w:r>
      <w:r>
        <w:rPr>
          <w:color w:val="auto"/>
          <w:sz w:val="24"/>
        </w:rPr>
        <w:t>项目中心地理坐标130°30′11.91″E，45°12′53.63″N。</w:t>
      </w:r>
    </w:p>
    <w:p>
      <w:pPr>
        <w:spacing w:line="360" w:lineRule="auto"/>
        <w:ind w:firstLine="480" w:firstLineChars="200"/>
        <w:contextualSpacing/>
        <w:rPr>
          <w:color w:val="auto"/>
          <w:sz w:val="24"/>
        </w:rPr>
      </w:pPr>
      <w:r>
        <w:rPr>
          <w:color w:val="auto"/>
          <w:sz w:val="24"/>
        </w:rPr>
        <w:t>建设性质：</w:t>
      </w:r>
      <w:r>
        <w:rPr>
          <w:rFonts w:hint="eastAsia"/>
          <w:color w:val="auto"/>
          <w:sz w:val="24"/>
        </w:rPr>
        <w:t>改扩</w:t>
      </w:r>
      <w:r>
        <w:rPr>
          <w:color w:val="auto"/>
          <w:sz w:val="24"/>
        </w:rPr>
        <w:t>建建设类项目</w:t>
      </w:r>
    </w:p>
    <w:p>
      <w:pPr>
        <w:spacing w:line="360" w:lineRule="auto"/>
        <w:ind w:firstLine="480" w:firstLineChars="200"/>
        <w:contextualSpacing/>
        <w:rPr>
          <w:color w:val="auto"/>
          <w:sz w:val="24"/>
        </w:rPr>
      </w:pPr>
      <w:r>
        <w:rPr>
          <w:color w:val="auto"/>
          <w:sz w:val="24"/>
        </w:rPr>
        <w:t>建设单位：鸡西市麻山区住房和城乡建设局</w:t>
      </w:r>
    </w:p>
    <w:p>
      <w:pPr>
        <w:pStyle w:val="32"/>
        <w:contextualSpacing/>
        <w:rPr>
          <w:color w:val="auto"/>
          <w:sz w:val="24"/>
        </w:rPr>
      </w:pPr>
      <w:r>
        <w:rPr>
          <w:color w:val="auto"/>
          <w:sz w:val="24"/>
        </w:rPr>
        <w:t>建设内容</w:t>
      </w:r>
      <w:r>
        <w:rPr>
          <w:rFonts w:hint="eastAsia"/>
          <w:color w:val="auto"/>
          <w:sz w:val="24"/>
        </w:rPr>
        <w:t>及规模</w:t>
      </w:r>
      <w:r>
        <w:rPr>
          <w:color w:val="auto"/>
          <w:sz w:val="24"/>
        </w:rPr>
        <w:t>：</w:t>
      </w:r>
      <w:r>
        <w:rPr>
          <w:rFonts w:hint="eastAsia"/>
          <w:color w:val="auto"/>
          <w:sz w:val="24"/>
        </w:rPr>
        <w:t>扩建工业污水处理规模为5</w:t>
      </w:r>
      <w:r>
        <w:rPr>
          <w:color w:val="auto"/>
          <w:sz w:val="24"/>
        </w:rPr>
        <w:t>000</w:t>
      </w:r>
      <w:r>
        <w:rPr>
          <w:rFonts w:hint="eastAsia"/>
          <w:color w:val="auto"/>
          <w:sz w:val="24"/>
        </w:rPr>
        <w:t>m</w:t>
      </w:r>
      <w:r>
        <w:rPr>
          <w:color w:val="auto"/>
          <w:sz w:val="24"/>
          <w:vertAlign w:val="superscript"/>
        </w:rPr>
        <w:t>3</w:t>
      </w:r>
      <w:r>
        <w:rPr>
          <w:color w:val="auto"/>
          <w:sz w:val="24"/>
        </w:rPr>
        <w:t>/d</w:t>
      </w:r>
      <w:r>
        <w:rPr>
          <w:rFonts w:hint="eastAsia"/>
          <w:color w:val="auto"/>
          <w:sz w:val="24"/>
        </w:rPr>
        <w:t>；生活污水处理规模为</w:t>
      </w:r>
      <w:r>
        <w:rPr>
          <w:color w:val="auto"/>
          <w:sz w:val="24"/>
        </w:rPr>
        <w:t>300</w:t>
      </w:r>
      <w:r>
        <w:rPr>
          <w:rFonts w:hint="eastAsia"/>
          <w:color w:val="auto"/>
          <w:sz w:val="24"/>
        </w:rPr>
        <w:t>m</w:t>
      </w:r>
      <w:r>
        <w:rPr>
          <w:color w:val="auto"/>
          <w:sz w:val="24"/>
          <w:vertAlign w:val="superscript"/>
        </w:rPr>
        <w:t>3</w:t>
      </w:r>
      <w:r>
        <w:rPr>
          <w:color w:val="auto"/>
          <w:sz w:val="24"/>
        </w:rPr>
        <w:t>/d</w:t>
      </w:r>
      <w:r>
        <w:rPr>
          <w:rFonts w:hint="eastAsia"/>
          <w:color w:val="auto"/>
          <w:sz w:val="24"/>
        </w:rPr>
        <w:t>；新建工业污水排放管网5</w:t>
      </w:r>
      <w:r>
        <w:rPr>
          <w:color w:val="auto"/>
          <w:sz w:val="24"/>
        </w:rPr>
        <w:t>341m</w:t>
      </w:r>
      <w:r>
        <w:rPr>
          <w:rFonts w:hint="eastAsia"/>
          <w:color w:val="auto"/>
          <w:sz w:val="24"/>
        </w:rPr>
        <w:t>，管径为D</w:t>
      </w:r>
      <w:r>
        <w:rPr>
          <w:color w:val="auto"/>
          <w:sz w:val="24"/>
        </w:rPr>
        <w:t>N200~DN500</w:t>
      </w:r>
      <w:r>
        <w:rPr>
          <w:rFonts w:hint="eastAsia"/>
          <w:color w:val="auto"/>
          <w:sz w:val="24"/>
        </w:rPr>
        <w:t>；生活污水排放管网4</w:t>
      </w:r>
      <w:r>
        <w:rPr>
          <w:color w:val="auto"/>
          <w:sz w:val="24"/>
        </w:rPr>
        <w:t>522m</w:t>
      </w:r>
      <w:r>
        <w:rPr>
          <w:rFonts w:hint="eastAsia"/>
          <w:color w:val="auto"/>
          <w:sz w:val="24"/>
        </w:rPr>
        <w:t>，管径为D</w:t>
      </w:r>
      <w:r>
        <w:rPr>
          <w:color w:val="auto"/>
          <w:sz w:val="24"/>
        </w:rPr>
        <w:t>N300~DN400</w:t>
      </w:r>
      <w:r>
        <w:rPr>
          <w:rFonts w:hint="eastAsia"/>
          <w:color w:val="auto"/>
          <w:sz w:val="24"/>
        </w:rPr>
        <w:t>；污水处理厂出水回用管网3</w:t>
      </w:r>
      <w:r>
        <w:rPr>
          <w:color w:val="auto"/>
          <w:sz w:val="24"/>
        </w:rPr>
        <w:t>089m</w:t>
      </w:r>
      <w:r>
        <w:rPr>
          <w:rFonts w:hint="eastAsia"/>
          <w:color w:val="auto"/>
          <w:sz w:val="24"/>
        </w:rPr>
        <w:t>，管径为D</w:t>
      </w:r>
      <w:r>
        <w:rPr>
          <w:color w:val="auto"/>
          <w:sz w:val="24"/>
        </w:rPr>
        <w:t>N150~DN300</w:t>
      </w:r>
      <w:r>
        <w:rPr>
          <w:rFonts w:hint="eastAsia"/>
          <w:color w:val="auto"/>
          <w:sz w:val="24"/>
        </w:rPr>
        <w:t>；设置储水罐3罐；缓冲池1座；提升系统3套。新建混凝土明渠2</w:t>
      </w:r>
      <w:r>
        <w:rPr>
          <w:color w:val="auto"/>
          <w:sz w:val="24"/>
        </w:rPr>
        <w:t>60m</w:t>
      </w:r>
      <w:r>
        <w:rPr>
          <w:rFonts w:hint="eastAsia"/>
          <w:color w:val="auto"/>
          <w:sz w:val="24"/>
        </w:rPr>
        <w:t>，混凝土雨水管网2</w:t>
      </w:r>
      <w:r>
        <w:rPr>
          <w:color w:val="auto"/>
          <w:sz w:val="24"/>
        </w:rPr>
        <w:t>49m</w:t>
      </w:r>
      <w:r>
        <w:rPr>
          <w:rFonts w:hint="eastAsia"/>
          <w:color w:val="auto"/>
          <w:sz w:val="24"/>
        </w:rPr>
        <w:t>，管径为</w:t>
      </w:r>
      <w:r>
        <w:rPr>
          <w:color w:val="auto"/>
          <w:sz w:val="24"/>
        </w:rPr>
        <w:t>1000~1200mm</w:t>
      </w:r>
      <w:r>
        <w:rPr>
          <w:rFonts w:hint="eastAsia"/>
          <w:color w:val="auto"/>
          <w:sz w:val="24"/>
        </w:rPr>
        <w:t>。</w:t>
      </w:r>
    </w:p>
    <w:p>
      <w:pPr>
        <w:spacing w:line="360" w:lineRule="auto"/>
        <w:ind w:firstLine="480" w:firstLineChars="200"/>
        <w:contextualSpacing/>
        <w:rPr>
          <w:color w:val="auto"/>
          <w:sz w:val="24"/>
        </w:rPr>
      </w:pPr>
      <w:r>
        <w:rPr>
          <w:rFonts w:hint="eastAsia"/>
          <w:color w:val="auto"/>
          <w:sz w:val="24"/>
        </w:rPr>
        <w:t>征占地：本项目征占地总面积为4</w:t>
      </w:r>
      <w:r>
        <w:rPr>
          <w:color w:val="auto"/>
          <w:sz w:val="24"/>
        </w:rPr>
        <w:t>.19hm</w:t>
      </w:r>
      <w:r>
        <w:rPr>
          <w:color w:val="auto"/>
          <w:sz w:val="24"/>
          <w:vertAlign w:val="superscript"/>
        </w:rPr>
        <w:t>2</w:t>
      </w:r>
      <w:r>
        <w:rPr>
          <w:rFonts w:hint="eastAsia"/>
          <w:color w:val="auto"/>
          <w:sz w:val="24"/>
        </w:rPr>
        <w:t>，其中永久占地3</w:t>
      </w:r>
      <w:r>
        <w:rPr>
          <w:color w:val="auto"/>
          <w:sz w:val="24"/>
        </w:rPr>
        <w:t>.00hm</w:t>
      </w:r>
      <w:r>
        <w:rPr>
          <w:color w:val="auto"/>
          <w:sz w:val="24"/>
          <w:vertAlign w:val="superscript"/>
        </w:rPr>
        <w:t>2</w:t>
      </w:r>
      <w:r>
        <w:rPr>
          <w:rFonts w:hint="eastAsia"/>
          <w:color w:val="auto"/>
          <w:sz w:val="24"/>
        </w:rPr>
        <w:t>（其中一期预留用地0</w:t>
      </w:r>
      <w:r>
        <w:rPr>
          <w:color w:val="auto"/>
          <w:sz w:val="24"/>
        </w:rPr>
        <w:t>.50hm</w:t>
      </w:r>
      <w:r>
        <w:rPr>
          <w:color w:val="auto"/>
          <w:sz w:val="24"/>
          <w:vertAlign w:val="superscript"/>
        </w:rPr>
        <w:t>2</w:t>
      </w:r>
      <w:r>
        <w:rPr>
          <w:rFonts w:hint="eastAsia"/>
          <w:color w:val="auto"/>
          <w:sz w:val="24"/>
        </w:rPr>
        <w:t>，二期用地2</w:t>
      </w:r>
      <w:r>
        <w:rPr>
          <w:color w:val="auto"/>
          <w:sz w:val="24"/>
        </w:rPr>
        <w:t>.50hm</w:t>
      </w:r>
      <w:r>
        <w:rPr>
          <w:color w:val="auto"/>
          <w:sz w:val="24"/>
          <w:vertAlign w:val="superscript"/>
        </w:rPr>
        <w:t>2</w:t>
      </w:r>
      <w:r>
        <w:rPr>
          <w:rFonts w:hint="eastAsia"/>
          <w:color w:val="auto"/>
          <w:sz w:val="24"/>
        </w:rPr>
        <w:t>），占地类型为公共管理与公共服务用地；临时占地1</w:t>
      </w:r>
      <w:r>
        <w:rPr>
          <w:color w:val="auto"/>
          <w:sz w:val="24"/>
        </w:rPr>
        <w:t>.19hm</w:t>
      </w:r>
      <w:r>
        <w:rPr>
          <w:color w:val="auto"/>
          <w:sz w:val="24"/>
          <w:vertAlign w:val="superscript"/>
        </w:rPr>
        <w:t>2</w:t>
      </w:r>
      <w:r>
        <w:rPr>
          <w:rFonts w:hint="eastAsia"/>
          <w:color w:val="auto"/>
          <w:sz w:val="24"/>
        </w:rPr>
        <w:t>，占地类型为其他林地。</w:t>
      </w:r>
    </w:p>
    <w:p>
      <w:pPr>
        <w:spacing w:line="360" w:lineRule="auto"/>
        <w:ind w:firstLine="480" w:firstLineChars="200"/>
        <w:contextualSpacing/>
        <w:rPr>
          <w:color w:val="auto"/>
          <w:sz w:val="24"/>
        </w:rPr>
      </w:pPr>
      <w:r>
        <w:rPr>
          <w:color w:val="auto"/>
          <w:sz w:val="24"/>
        </w:rPr>
        <w:t>土石方：</w:t>
      </w:r>
      <w:r>
        <w:rPr>
          <w:rFonts w:hint="eastAsia"/>
          <w:color w:val="auto"/>
          <w:sz w:val="24"/>
        </w:rPr>
        <w:t>本项目土石方挖填方总量</w:t>
      </w:r>
      <w:r>
        <w:rPr>
          <w:color w:val="auto"/>
          <w:sz w:val="24"/>
        </w:rPr>
        <w:t>4.50</w:t>
      </w:r>
      <w:r>
        <w:rPr>
          <w:rFonts w:hint="eastAsia"/>
          <w:color w:val="auto"/>
          <w:sz w:val="24"/>
        </w:rPr>
        <w:t>万m</w:t>
      </w:r>
      <w:r>
        <w:rPr>
          <w:rFonts w:hint="eastAsia"/>
          <w:color w:val="auto"/>
          <w:sz w:val="24"/>
          <w:vertAlign w:val="superscript"/>
        </w:rPr>
        <w:t>3</w:t>
      </w:r>
      <w:r>
        <w:rPr>
          <w:rFonts w:hint="eastAsia"/>
          <w:color w:val="auto"/>
          <w:sz w:val="24"/>
        </w:rPr>
        <w:t>，其中挖方量</w:t>
      </w:r>
      <w:r>
        <w:rPr>
          <w:color w:val="auto"/>
          <w:sz w:val="24"/>
        </w:rPr>
        <w:t>2.25</w:t>
      </w:r>
      <w:r>
        <w:rPr>
          <w:rFonts w:hint="eastAsia"/>
          <w:color w:val="auto"/>
          <w:sz w:val="24"/>
        </w:rPr>
        <w:t>万m</w:t>
      </w:r>
      <w:r>
        <w:rPr>
          <w:rFonts w:hint="eastAsia"/>
          <w:color w:val="auto"/>
          <w:sz w:val="24"/>
          <w:vertAlign w:val="superscript"/>
        </w:rPr>
        <w:t>3</w:t>
      </w:r>
      <w:r>
        <w:rPr>
          <w:rFonts w:hint="eastAsia"/>
          <w:color w:val="auto"/>
          <w:sz w:val="24"/>
        </w:rPr>
        <w:t>，填方量</w:t>
      </w:r>
      <w:r>
        <w:rPr>
          <w:color w:val="auto"/>
          <w:sz w:val="24"/>
        </w:rPr>
        <w:t>2.25</w:t>
      </w:r>
      <w:r>
        <w:rPr>
          <w:rFonts w:hint="eastAsia"/>
          <w:color w:val="auto"/>
          <w:sz w:val="24"/>
        </w:rPr>
        <w:t>万m</w:t>
      </w:r>
      <w:r>
        <w:rPr>
          <w:rFonts w:hint="eastAsia"/>
          <w:color w:val="auto"/>
          <w:sz w:val="24"/>
          <w:vertAlign w:val="superscript"/>
        </w:rPr>
        <w:t>3</w:t>
      </w:r>
      <w:r>
        <w:rPr>
          <w:rFonts w:hint="eastAsia"/>
          <w:color w:val="auto"/>
          <w:sz w:val="24"/>
        </w:rPr>
        <w:t>，无借方，无弃方。</w:t>
      </w:r>
    </w:p>
    <w:p>
      <w:pPr>
        <w:spacing w:line="360" w:lineRule="auto"/>
        <w:ind w:firstLine="480" w:firstLineChars="200"/>
        <w:contextualSpacing/>
        <w:rPr>
          <w:color w:val="auto"/>
          <w:sz w:val="24"/>
        </w:rPr>
      </w:pPr>
      <w:r>
        <w:rPr>
          <w:color w:val="auto"/>
          <w:sz w:val="24"/>
        </w:rPr>
        <w:t>施工工期：</w:t>
      </w:r>
      <w:r>
        <w:rPr>
          <w:rFonts w:hint="eastAsia"/>
          <w:color w:val="auto"/>
          <w:sz w:val="24"/>
        </w:rPr>
        <w:t>已</w:t>
      </w:r>
      <w:r>
        <w:rPr>
          <w:color w:val="auto"/>
          <w:sz w:val="24"/>
        </w:rPr>
        <w:t>于2022年5月开工，</w:t>
      </w:r>
      <w:r>
        <w:rPr>
          <w:rFonts w:hint="eastAsia"/>
          <w:color w:val="auto"/>
          <w:sz w:val="24"/>
        </w:rPr>
        <w:t>计划</w:t>
      </w:r>
      <w:r>
        <w:rPr>
          <w:color w:val="auto"/>
          <w:sz w:val="24"/>
        </w:rPr>
        <w:t>2023年12月完工，总工期20个月。</w:t>
      </w:r>
    </w:p>
    <w:p>
      <w:pPr>
        <w:spacing w:line="360" w:lineRule="auto"/>
        <w:ind w:firstLine="480" w:firstLineChars="200"/>
        <w:contextualSpacing/>
        <w:rPr>
          <w:color w:val="auto"/>
          <w:sz w:val="24"/>
        </w:rPr>
      </w:pPr>
      <w:r>
        <w:rPr>
          <w:color w:val="auto"/>
          <w:sz w:val="24"/>
        </w:rPr>
        <w:t>项目投资：本项目总投资13726.01万元，其中土建投资12641.36万元，</w:t>
      </w:r>
      <w:r>
        <w:rPr>
          <w:rFonts w:hint="eastAsia"/>
          <w:color w:val="auto"/>
          <w:sz w:val="24"/>
        </w:rPr>
        <w:t>资金来源为企业</w:t>
      </w:r>
      <w:r>
        <w:rPr>
          <w:color w:val="auto"/>
          <w:sz w:val="24"/>
        </w:rPr>
        <w:t>自筹。</w:t>
      </w:r>
    </w:p>
    <w:p>
      <w:pPr>
        <w:spacing w:line="360" w:lineRule="auto"/>
        <w:ind w:firstLine="480" w:firstLineChars="200"/>
        <w:contextualSpacing/>
        <w:rPr>
          <w:color w:val="auto"/>
          <w:sz w:val="24"/>
        </w:rPr>
      </w:pPr>
      <w:r>
        <w:rPr>
          <w:color w:val="auto"/>
          <w:sz w:val="24"/>
        </w:rPr>
        <w:t>工程拆迁与移民：</w:t>
      </w:r>
      <w:bookmarkStart w:id="15" w:name="_Toc521945558"/>
      <w:r>
        <w:rPr>
          <w:color w:val="auto"/>
          <w:sz w:val="24"/>
        </w:rPr>
        <w:t>本工程不涉及拆迁（移民）安置与专项设施改（迁）建。</w:t>
      </w:r>
    </w:p>
    <w:p>
      <w:pPr>
        <w:spacing w:line="360" w:lineRule="auto"/>
        <w:ind w:firstLine="480" w:firstLineChars="200"/>
        <w:contextualSpacing/>
        <w:rPr>
          <w:color w:val="auto"/>
          <w:sz w:val="24"/>
        </w:rPr>
      </w:pPr>
      <w:r>
        <w:rPr>
          <w:color w:val="auto"/>
          <w:sz w:val="24"/>
        </w:rPr>
        <w:t>项目设置施工生产区2处，</w:t>
      </w:r>
      <w:r>
        <w:rPr>
          <w:rFonts w:hint="eastAsia"/>
          <w:color w:val="auto"/>
          <w:sz w:val="24"/>
        </w:rPr>
        <w:t>位于红线范围内</w:t>
      </w:r>
      <w:r>
        <w:rPr>
          <w:color w:val="auto"/>
          <w:sz w:val="24"/>
        </w:rPr>
        <w:t>。建设期间</w:t>
      </w:r>
      <w:r>
        <w:rPr>
          <w:rFonts w:hint="eastAsia"/>
          <w:color w:val="auto"/>
          <w:sz w:val="24"/>
        </w:rPr>
        <w:t>从东侧园区道路进入场地，无需修建施工便道</w:t>
      </w:r>
      <w:r>
        <w:rPr>
          <w:color w:val="auto"/>
          <w:sz w:val="24"/>
        </w:rPr>
        <w:t>。施工</w:t>
      </w:r>
      <w:r>
        <w:rPr>
          <w:rFonts w:hint="eastAsia"/>
          <w:color w:val="auto"/>
          <w:sz w:val="24"/>
        </w:rPr>
        <w:t>用</w:t>
      </w:r>
      <w:r>
        <w:rPr>
          <w:color w:val="auto"/>
          <w:sz w:val="24"/>
        </w:rPr>
        <w:t>水</w:t>
      </w:r>
      <w:r>
        <w:rPr>
          <w:rFonts w:hint="eastAsia"/>
          <w:color w:val="auto"/>
          <w:sz w:val="24"/>
        </w:rPr>
        <w:t>用电</w:t>
      </w:r>
      <w:r>
        <w:rPr>
          <w:color w:val="auto"/>
          <w:sz w:val="24"/>
        </w:rPr>
        <w:t>从</w:t>
      </w:r>
      <w:r>
        <w:rPr>
          <w:rFonts w:hint="eastAsia"/>
          <w:color w:val="auto"/>
          <w:sz w:val="24"/>
        </w:rPr>
        <w:t>园区</w:t>
      </w:r>
      <w:r>
        <w:rPr>
          <w:color w:val="auto"/>
          <w:sz w:val="24"/>
        </w:rPr>
        <w:t>接引，施工通讯使用移动通讯方式。</w:t>
      </w:r>
    </w:p>
    <w:p>
      <w:pPr>
        <w:adjustRightInd w:val="0"/>
        <w:snapToGrid w:val="0"/>
        <w:spacing w:line="360" w:lineRule="auto"/>
        <w:contextualSpacing/>
        <w:outlineLvl w:val="2"/>
        <w:rPr>
          <w:b/>
          <w:bCs/>
          <w:color w:val="auto"/>
          <w:sz w:val="28"/>
          <w:szCs w:val="28"/>
        </w:rPr>
      </w:pPr>
      <w:r>
        <w:rPr>
          <w:b/>
          <w:bCs/>
          <w:color w:val="auto"/>
          <w:sz w:val="28"/>
          <w:szCs w:val="28"/>
        </w:rPr>
        <w:t>1.1.2</w:t>
      </w:r>
      <w:bookmarkEnd w:id="15"/>
      <w:r>
        <w:rPr>
          <w:b/>
          <w:bCs/>
          <w:color w:val="auto"/>
          <w:sz w:val="28"/>
          <w:szCs w:val="28"/>
        </w:rPr>
        <w:t>项目前期工作进展情况</w:t>
      </w:r>
    </w:p>
    <w:p>
      <w:pPr>
        <w:spacing w:line="360" w:lineRule="auto"/>
        <w:ind w:firstLine="480" w:firstLineChars="200"/>
        <w:contextualSpacing/>
        <w:rPr>
          <w:color w:val="auto"/>
          <w:kern w:val="0"/>
          <w:sz w:val="24"/>
        </w:rPr>
      </w:pPr>
      <w:r>
        <w:rPr>
          <w:rFonts w:hint="eastAsia"/>
          <w:color w:val="auto"/>
          <w:kern w:val="0"/>
          <w:sz w:val="24"/>
        </w:rPr>
        <w:t>1、工程设计情况</w:t>
      </w:r>
    </w:p>
    <w:p>
      <w:pPr>
        <w:spacing w:line="360" w:lineRule="auto"/>
        <w:ind w:firstLine="480" w:firstLineChars="200"/>
        <w:contextualSpacing/>
        <w:rPr>
          <w:color w:val="auto"/>
          <w:kern w:val="0"/>
          <w:sz w:val="24"/>
        </w:rPr>
      </w:pPr>
      <w:r>
        <w:rPr>
          <w:color w:val="auto"/>
          <w:kern w:val="0"/>
          <w:sz w:val="24"/>
        </w:rPr>
        <w:t>2020年8月28日</w:t>
      </w:r>
      <w:r>
        <w:rPr>
          <w:rFonts w:hint="eastAsia"/>
          <w:color w:val="auto"/>
          <w:kern w:val="0"/>
          <w:sz w:val="24"/>
        </w:rPr>
        <w:t>，鸡西市发展和改革委员会对本项目可行性研究报告进行了批复（鸡发改环资[</w:t>
      </w:r>
      <w:r>
        <w:rPr>
          <w:color w:val="auto"/>
          <w:kern w:val="0"/>
          <w:sz w:val="24"/>
        </w:rPr>
        <w:t>2020]10</w:t>
      </w:r>
      <w:r>
        <w:rPr>
          <w:rFonts w:hint="eastAsia"/>
          <w:color w:val="auto"/>
          <w:kern w:val="0"/>
          <w:sz w:val="24"/>
        </w:rPr>
        <w:t>号）；</w:t>
      </w:r>
    </w:p>
    <w:p>
      <w:pPr>
        <w:spacing w:line="360" w:lineRule="auto"/>
        <w:ind w:firstLine="480" w:firstLineChars="200"/>
        <w:contextualSpacing/>
        <w:rPr>
          <w:color w:val="auto"/>
          <w:kern w:val="0"/>
          <w:sz w:val="24"/>
        </w:rPr>
      </w:pPr>
      <w:r>
        <w:rPr>
          <w:color w:val="auto"/>
          <w:kern w:val="0"/>
          <w:sz w:val="24"/>
        </w:rPr>
        <w:t>2021年9月29日</w:t>
      </w:r>
      <w:r>
        <w:rPr>
          <w:rFonts w:hint="eastAsia"/>
          <w:color w:val="auto"/>
          <w:kern w:val="0"/>
          <w:sz w:val="24"/>
        </w:rPr>
        <w:t>，鸡西市发展和改革委员会对本项目初步设计进行了批复（鸡发改环资[</w:t>
      </w:r>
      <w:r>
        <w:rPr>
          <w:color w:val="auto"/>
          <w:kern w:val="0"/>
          <w:sz w:val="24"/>
        </w:rPr>
        <w:t>2021]11</w:t>
      </w:r>
      <w:r>
        <w:rPr>
          <w:rFonts w:hint="eastAsia"/>
          <w:color w:val="auto"/>
          <w:kern w:val="0"/>
          <w:sz w:val="24"/>
        </w:rPr>
        <w:t>号）；</w:t>
      </w:r>
    </w:p>
    <w:p>
      <w:pPr>
        <w:spacing w:line="360" w:lineRule="auto"/>
        <w:ind w:firstLine="480" w:firstLineChars="200"/>
        <w:contextualSpacing/>
        <w:rPr>
          <w:color w:val="auto"/>
          <w:kern w:val="0"/>
          <w:sz w:val="24"/>
        </w:rPr>
      </w:pPr>
      <w:r>
        <w:rPr>
          <w:rFonts w:hint="eastAsia"/>
          <w:color w:val="auto"/>
          <w:kern w:val="0"/>
          <w:sz w:val="24"/>
        </w:rPr>
        <w:t>2</w:t>
      </w:r>
      <w:r>
        <w:rPr>
          <w:color w:val="auto"/>
          <w:kern w:val="0"/>
          <w:sz w:val="24"/>
        </w:rPr>
        <w:t>021</w:t>
      </w:r>
      <w:r>
        <w:rPr>
          <w:rFonts w:hint="eastAsia"/>
          <w:color w:val="auto"/>
          <w:kern w:val="0"/>
          <w:sz w:val="24"/>
        </w:rPr>
        <w:t>年</w:t>
      </w:r>
      <w:r>
        <w:rPr>
          <w:color w:val="auto"/>
          <w:kern w:val="0"/>
          <w:sz w:val="24"/>
        </w:rPr>
        <w:t>2</w:t>
      </w:r>
      <w:r>
        <w:rPr>
          <w:rFonts w:hint="eastAsia"/>
          <w:color w:val="auto"/>
          <w:kern w:val="0"/>
          <w:sz w:val="24"/>
        </w:rPr>
        <w:t>月</w:t>
      </w:r>
      <w:r>
        <w:rPr>
          <w:color w:val="auto"/>
          <w:kern w:val="0"/>
          <w:sz w:val="24"/>
        </w:rPr>
        <w:t>8</w:t>
      </w:r>
      <w:r>
        <w:rPr>
          <w:rFonts w:hint="eastAsia"/>
          <w:color w:val="auto"/>
          <w:kern w:val="0"/>
          <w:sz w:val="24"/>
        </w:rPr>
        <w:t>日，建设单位取得了污水处理厂二期扩建的建设用地规划许可证；</w:t>
      </w:r>
    </w:p>
    <w:p>
      <w:pPr>
        <w:spacing w:line="360" w:lineRule="auto"/>
        <w:ind w:firstLine="480" w:firstLineChars="200"/>
        <w:contextualSpacing/>
        <w:rPr>
          <w:color w:val="auto"/>
          <w:kern w:val="0"/>
          <w:sz w:val="24"/>
        </w:rPr>
      </w:pPr>
      <w:r>
        <w:rPr>
          <w:rFonts w:hint="eastAsia"/>
          <w:color w:val="auto"/>
          <w:kern w:val="0"/>
          <w:sz w:val="24"/>
        </w:rPr>
        <w:t>2</w:t>
      </w:r>
      <w:r>
        <w:rPr>
          <w:color w:val="auto"/>
          <w:kern w:val="0"/>
          <w:sz w:val="24"/>
        </w:rPr>
        <w:t>021</w:t>
      </w:r>
      <w:r>
        <w:rPr>
          <w:rFonts w:hint="eastAsia"/>
          <w:color w:val="auto"/>
          <w:kern w:val="0"/>
          <w:sz w:val="24"/>
        </w:rPr>
        <w:t>年</w:t>
      </w:r>
      <w:r>
        <w:rPr>
          <w:color w:val="auto"/>
          <w:kern w:val="0"/>
          <w:sz w:val="24"/>
        </w:rPr>
        <w:t>3</w:t>
      </w:r>
      <w:r>
        <w:rPr>
          <w:rFonts w:hint="eastAsia"/>
          <w:color w:val="auto"/>
          <w:kern w:val="0"/>
          <w:sz w:val="24"/>
        </w:rPr>
        <w:t>月</w:t>
      </w:r>
      <w:r>
        <w:rPr>
          <w:color w:val="auto"/>
          <w:kern w:val="0"/>
          <w:sz w:val="24"/>
        </w:rPr>
        <w:t>29</w:t>
      </w:r>
      <w:r>
        <w:rPr>
          <w:rFonts w:hint="eastAsia"/>
          <w:color w:val="auto"/>
          <w:kern w:val="0"/>
          <w:sz w:val="24"/>
        </w:rPr>
        <w:t>日，建设单位取得了污水处理厂二期扩建的建设工程规划许可证；</w:t>
      </w:r>
    </w:p>
    <w:p>
      <w:pPr>
        <w:spacing w:line="360" w:lineRule="auto"/>
        <w:ind w:firstLine="480" w:firstLineChars="200"/>
        <w:contextualSpacing/>
        <w:rPr>
          <w:color w:val="auto"/>
          <w:kern w:val="0"/>
          <w:sz w:val="24"/>
        </w:rPr>
      </w:pPr>
      <w:r>
        <w:rPr>
          <w:rFonts w:hint="eastAsia"/>
          <w:color w:val="auto"/>
          <w:kern w:val="0"/>
          <w:sz w:val="24"/>
        </w:rPr>
        <w:t>2</w:t>
      </w:r>
      <w:r>
        <w:rPr>
          <w:color w:val="auto"/>
          <w:kern w:val="0"/>
          <w:sz w:val="24"/>
        </w:rPr>
        <w:t>021</w:t>
      </w:r>
      <w:r>
        <w:rPr>
          <w:rFonts w:hint="eastAsia"/>
          <w:color w:val="auto"/>
          <w:kern w:val="0"/>
          <w:sz w:val="24"/>
        </w:rPr>
        <w:t>年</w:t>
      </w:r>
      <w:r>
        <w:rPr>
          <w:color w:val="auto"/>
          <w:kern w:val="0"/>
          <w:sz w:val="24"/>
        </w:rPr>
        <w:t>6</w:t>
      </w:r>
      <w:r>
        <w:rPr>
          <w:rFonts w:hint="eastAsia"/>
          <w:color w:val="auto"/>
          <w:kern w:val="0"/>
          <w:sz w:val="24"/>
        </w:rPr>
        <w:t>月</w:t>
      </w:r>
      <w:r>
        <w:rPr>
          <w:color w:val="auto"/>
          <w:kern w:val="0"/>
          <w:sz w:val="24"/>
        </w:rPr>
        <w:t>21</w:t>
      </w:r>
      <w:r>
        <w:rPr>
          <w:rFonts w:hint="eastAsia"/>
          <w:color w:val="auto"/>
          <w:kern w:val="0"/>
          <w:sz w:val="24"/>
        </w:rPr>
        <w:t>日，建设单位取得了工业园区管网的建设用地规划许可证；</w:t>
      </w:r>
    </w:p>
    <w:p>
      <w:pPr>
        <w:spacing w:line="360" w:lineRule="auto"/>
        <w:ind w:firstLine="480" w:firstLineChars="200"/>
        <w:contextualSpacing/>
        <w:rPr>
          <w:color w:val="auto"/>
          <w:kern w:val="0"/>
          <w:sz w:val="24"/>
        </w:rPr>
      </w:pPr>
      <w:r>
        <w:rPr>
          <w:rFonts w:hint="eastAsia"/>
          <w:color w:val="auto"/>
          <w:kern w:val="0"/>
          <w:sz w:val="24"/>
        </w:rPr>
        <w:t>2</w:t>
      </w:r>
      <w:r>
        <w:rPr>
          <w:color w:val="auto"/>
          <w:kern w:val="0"/>
          <w:sz w:val="24"/>
        </w:rPr>
        <w:t>021</w:t>
      </w:r>
      <w:r>
        <w:rPr>
          <w:rFonts w:hint="eastAsia"/>
          <w:color w:val="auto"/>
          <w:kern w:val="0"/>
          <w:sz w:val="24"/>
        </w:rPr>
        <w:t>年7月2</w:t>
      </w:r>
      <w:r>
        <w:rPr>
          <w:color w:val="auto"/>
          <w:kern w:val="0"/>
          <w:sz w:val="24"/>
        </w:rPr>
        <w:t>6</w:t>
      </w:r>
      <w:r>
        <w:rPr>
          <w:rFonts w:hint="eastAsia"/>
          <w:color w:val="auto"/>
          <w:kern w:val="0"/>
          <w:sz w:val="24"/>
        </w:rPr>
        <w:t>日，建设单位取得了工业园区管网的建设工程规划许可证。</w:t>
      </w:r>
    </w:p>
    <w:p>
      <w:pPr>
        <w:adjustRightInd w:val="0"/>
        <w:spacing w:line="360" w:lineRule="auto"/>
        <w:ind w:firstLine="480" w:firstLineChars="200"/>
        <w:contextualSpacing/>
        <w:rPr>
          <w:color w:val="auto"/>
          <w:kern w:val="0"/>
          <w:sz w:val="24"/>
        </w:rPr>
      </w:pPr>
      <w:r>
        <w:rPr>
          <w:rFonts w:hint="eastAsia"/>
          <w:color w:val="auto"/>
          <w:kern w:val="0"/>
          <w:sz w:val="24"/>
        </w:rPr>
        <w:t>2、方案编制情况</w:t>
      </w:r>
    </w:p>
    <w:p>
      <w:pPr>
        <w:adjustRightInd w:val="0"/>
        <w:spacing w:line="360" w:lineRule="auto"/>
        <w:ind w:firstLine="480" w:firstLineChars="200"/>
        <w:contextualSpacing/>
        <w:rPr>
          <w:color w:val="auto"/>
          <w:kern w:val="0"/>
          <w:sz w:val="24"/>
        </w:rPr>
      </w:pPr>
      <w:r>
        <w:rPr>
          <w:color w:val="auto"/>
          <w:kern w:val="0"/>
          <w:sz w:val="24"/>
        </w:rPr>
        <w:t>根据《中华人民共和国水土保持法》、《中华人民共和国水土保持法实施条例》、《黑龙江省水土保持条例》、《水利部关于加深进一步深化“放管服”改革全面加强水土保持监管的意见》（水保〔2019〕160 号）以及黑龙江省水土保持方面有关法律法规的要求，</w:t>
      </w:r>
      <w:r>
        <w:rPr>
          <w:rFonts w:hint="eastAsia"/>
          <w:color w:val="auto"/>
          <w:kern w:val="0"/>
          <w:sz w:val="24"/>
        </w:rPr>
        <w:t>在山区、丘陵区、风沙区以及水土保持规划确定的容易发生水土流失的其他区域开办可能造成水土流失的生产建设项目，生产建设单位应当编制水土保持方案，并在开工前报县级以上人民政府水行政主管部门审批。当前，本项目已开工建设，鸡西市麻山区农业农村局于2</w:t>
      </w:r>
      <w:r>
        <w:rPr>
          <w:color w:val="auto"/>
          <w:kern w:val="0"/>
          <w:sz w:val="24"/>
        </w:rPr>
        <w:t>023</w:t>
      </w:r>
      <w:r>
        <w:rPr>
          <w:rFonts w:hint="eastAsia"/>
          <w:color w:val="auto"/>
          <w:kern w:val="0"/>
          <w:sz w:val="24"/>
        </w:rPr>
        <w:t>年8月1</w:t>
      </w:r>
      <w:r>
        <w:rPr>
          <w:color w:val="auto"/>
          <w:kern w:val="0"/>
          <w:sz w:val="24"/>
        </w:rPr>
        <w:t>1</w:t>
      </w:r>
      <w:r>
        <w:rPr>
          <w:rFonts w:hint="eastAsia"/>
          <w:color w:val="auto"/>
          <w:kern w:val="0"/>
          <w:sz w:val="24"/>
        </w:rPr>
        <w:t>日对建设单位</w:t>
      </w:r>
      <w:r>
        <w:rPr>
          <w:color w:val="auto"/>
          <w:kern w:val="0"/>
          <w:sz w:val="24"/>
        </w:rPr>
        <w:t>鸡西市麻山区住房和城乡建设局</w:t>
      </w:r>
      <w:r>
        <w:rPr>
          <w:rFonts w:hint="eastAsia"/>
          <w:color w:val="auto"/>
          <w:kern w:val="0"/>
          <w:sz w:val="24"/>
        </w:rPr>
        <w:t>下达了限期补办水行政许可手续通知书（鸡西市麻山区水限补许[</w:t>
      </w:r>
      <w:r>
        <w:rPr>
          <w:color w:val="auto"/>
          <w:kern w:val="0"/>
          <w:sz w:val="24"/>
        </w:rPr>
        <w:t>2023]</w:t>
      </w:r>
      <w:r>
        <w:rPr>
          <w:rFonts w:hint="eastAsia"/>
          <w:color w:val="auto"/>
          <w:kern w:val="0"/>
          <w:sz w:val="24"/>
        </w:rPr>
        <w:t>第0</w:t>
      </w:r>
      <w:r>
        <w:rPr>
          <w:color w:val="auto"/>
          <w:kern w:val="0"/>
          <w:sz w:val="24"/>
        </w:rPr>
        <w:t>02</w:t>
      </w:r>
      <w:r>
        <w:rPr>
          <w:rFonts w:hint="eastAsia"/>
          <w:color w:val="auto"/>
          <w:kern w:val="0"/>
          <w:sz w:val="24"/>
        </w:rPr>
        <w:t>号）。受建设单位委托，我公司立即</w:t>
      </w:r>
      <w:r>
        <w:rPr>
          <w:color w:val="auto"/>
          <w:kern w:val="0"/>
          <w:sz w:val="24"/>
        </w:rPr>
        <w:t>开展本项目水土保持方案报告表编制工作。项目组对工程前期设计资料、以及水土保持方案编制前主体工程开展情况进行了全面分析，并对施工现场进行详细勘察，对项目区的自然环境、社会环境、生态环境及水土流失与防治现状等进行了调查，并按照《生产建设项目水土保持技术标准》（GB50433-2018）等及相关规程规范要求，于2023年9月编制完成了本方案</w:t>
      </w:r>
      <w:r>
        <w:rPr>
          <w:rFonts w:hint="eastAsia"/>
          <w:color w:val="auto"/>
          <w:kern w:val="0"/>
          <w:sz w:val="24"/>
        </w:rPr>
        <w:t>，本方案为补报方案。</w:t>
      </w:r>
    </w:p>
    <w:p>
      <w:pPr>
        <w:adjustRightInd w:val="0"/>
        <w:spacing w:line="360" w:lineRule="auto"/>
        <w:ind w:firstLine="480" w:firstLineChars="200"/>
        <w:contextualSpacing/>
        <w:rPr>
          <w:rFonts w:hint="eastAsia"/>
          <w:color w:val="auto"/>
          <w:kern w:val="0"/>
          <w:sz w:val="24"/>
        </w:rPr>
      </w:pPr>
      <w:r>
        <w:rPr>
          <w:rFonts w:hint="eastAsia"/>
          <w:color w:val="auto"/>
          <w:kern w:val="0"/>
          <w:sz w:val="24"/>
        </w:rPr>
        <w:t>3、工程进展情况</w:t>
      </w:r>
    </w:p>
    <w:p>
      <w:pPr>
        <w:adjustRightInd w:val="0"/>
        <w:spacing w:line="360" w:lineRule="auto"/>
        <w:ind w:firstLine="480" w:firstLineChars="200"/>
        <w:contextualSpacing/>
        <w:rPr>
          <w:color w:val="auto"/>
          <w:kern w:val="0"/>
          <w:sz w:val="24"/>
        </w:rPr>
      </w:pPr>
      <w:r>
        <w:rPr>
          <w:color w:val="auto"/>
          <w:kern w:val="0"/>
          <w:sz w:val="24"/>
        </w:rPr>
        <w:t>项目主体工程</w:t>
      </w:r>
      <w:r>
        <w:rPr>
          <w:rFonts w:hint="eastAsia"/>
          <w:color w:val="auto"/>
          <w:kern w:val="0"/>
          <w:sz w:val="24"/>
        </w:rPr>
        <w:t>已于</w:t>
      </w:r>
      <w:r>
        <w:rPr>
          <w:color w:val="auto"/>
          <w:kern w:val="0"/>
          <w:sz w:val="24"/>
        </w:rPr>
        <w:t>2022年5月开工，</w:t>
      </w:r>
      <w:r>
        <w:rPr>
          <w:rFonts w:hint="eastAsia"/>
          <w:color w:val="auto"/>
          <w:kern w:val="0"/>
          <w:sz w:val="24"/>
        </w:rPr>
        <w:t>计划</w:t>
      </w:r>
      <w:r>
        <w:rPr>
          <w:color w:val="auto"/>
          <w:kern w:val="0"/>
          <w:sz w:val="24"/>
        </w:rPr>
        <w:t>2023年12月完工</w:t>
      </w:r>
      <w:r>
        <w:rPr>
          <w:rFonts w:hint="eastAsia"/>
          <w:color w:val="auto"/>
          <w:kern w:val="0"/>
          <w:sz w:val="24"/>
        </w:rPr>
        <w:t>，目前建构筑物区、工业园区管网工程已完工，2</w:t>
      </w:r>
      <w:r>
        <w:rPr>
          <w:color w:val="auto"/>
          <w:kern w:val="0"/>
          <w:sz w:val="24"/>
        </w:rPr>
        <w:t>023</w:t>
      </w:r>
      <w:r>
        <w:rPr>
          <w:rFonts w:hint="eastAsia"/>
          <w:color w:val="auto"/>
          <w:kern w:val="0"/>
          <w:sz w:val="24"/>
        </w:rPr>
        <w:t>年1</w:t>
      </w:r>
      <w:r>
        <w:rPr>
          <w:color w:val="auto"/>
          <w:kern w:val="0"/>
          <w:sz w:val="24"/>
        </w:rPr>
        <w:t>0</w:t>
      </w:r>
      <w:r>
        <w:rPr>
          <w:rFonts w:hint="eastAsia"/>
          <w:color w:val="auto"/>
          <w:kern w:val="0"/>
          <w:sz w:val="24"/>
        </w:rPr>
        <w:t>月~</w:t>
      </w:r>
      <w:r>
        <w:rPr>
          <w:color w:val="auto"/>
          <w:kern w:val="0"/>
          <w:sz w:val="24"/>
        </w:rPr>
        <w:t>12</w:t>
      </w:r>
      <w:r>
        <w:rPr>
          <w:rFonts w:hint="eastAsia"/>
          <w:color w:val="auto"/>
          <w:kern w:val="0"/>
          <w:sz w:val="24"/>
        </w:rPr>
        <w:t>月拟进行道路硬化和绿化。根据现场调查，未发生水土流失情况。现场照片见图1</w:t>
      </w:r>
      <w:r>
        <w:rPr>
          <w:color w:val="auto"/>
          <w:kern w:val="0"/>
          <w:sz w:val="24"/>
        </w:rPr>
        <w:t>.1-1</w:t>
      </w:r>
      <w:r>
        <w:rPr>
          <w:rFonts w:hint="eastAsia"/>
          <w:color w:val="auto"/>
          <w:kern w:val="0"/>
          <w:sz w:val="24"/>
        </w:rPr>
        <w:t>。</w:t>
      </w:r>
    </w:p>
    <w:p>
      <w:pPr>
        <w:pStyle w:val="24"/>
        <w:ind w:firstLine="0" w:firstLineChars="0"/>
        <w:jc w:val="center"/>
        <w:rPr>
          <w:color w:val="auto"/>
        </w:rPr>
      </w:pPr>
      <w:r>
        <w:rPr>
          <w:color w:val="auto"/>
        </w:rPr>
        <w:drawing>
          <wp:inline distT="0" distB="0" distL="0" distR="0">
            <wp:extent cx="4699000" cy="3545840"/>
            <wp:effectExtent l="0" t="0" r="6350" b="0"/>
            <wp:docPr id="1156329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29767"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03412" cy="3549360"/>
                    </a:xfrm>
                    <a:prstGeom prst="rect">
                      <a:avLst/>
                    </a:prstGeom>
                    <a:noFill/>
                    <a:ln>
                      <a:noFill/>
                    </a:ln>
                  </pic:spPr>
                </pic:pic>
              </a:graphicData>
            </a:graphic>
          </wp:inline>
        </w:drawing>
      </w:r>
    </w:p>
    <w:p>
      <w:pPr>
        <w:adjustRightInd w:val="0"/>
        <w:spacing w:line="360" w:lineRule="auto"/>
        <w:ind w:firstLine="422" w:firstLineChars="200"/>
        <w:contextualSpacing/>
        <w:jc w:val="center"/>
        <w:rPr>
          <w:color w:val="auto"/>
          <w:kern w:val="0"/>
          <w:sz w:val="24"/>
        </w:rPr>
      </w:pPr>
      <w:r>
        <w:rPr>
          <w:rFonts w:hint="eastAsia"/>
          <w:b/>
          <w:color w:val="auto"/>
          <w:sz w:val="21"/>
          <w:szCs w:val="21"/>
        </w:rPr>
        <w:t>图</w:t>
      </w:r>
      <w:r>
        <w:rPr>
          <w:b/>
          <w:color w:val="auto"/>
          <w:sz w:val="21"/>
          <w:szCs w:val="21"/>
        </w:rPr>
        <w:t xml:space="preserve">1.1-1   </w:t>
      </w:r>
      <w:r>
        <w:rPr>
          <w:rFonts w:hint="eastAsia"/>
          <w:b/>
          <w:color w:val="auto"/>
          <w:sz w:val="21"/>
          <w:szCs w:val="21"/>
        </w:rPr>
        <w:t>项目现场照片</w:t>
      </w:r>
    </w:p>
    <w:p>
      <w:pPr>
        <w:adjustRightInd w:val="0"/>
        <w:spacing w:line="360" w:lineRule="auto"/>
        <w:ind w:firstLine="480" w:firstLineChars="200"/>
        <w:contextualSpacing/>
        <w:rPr>
          <w:rFonts w:hint="eastAsia"/>
          <w:color w:val="auto"/>
          <w:kern w:val="0"/>
          <w:sz w:val="24"/>
        </w:rPr>
      </w:pPr>
      <w:r>
        <w:rPr>
          <w:rFonts w:hint="eastAsia"/>
          <w:color w:val="auto"/>
          <w:kern w:val="0"/>
          <w:sz w:val="24"/>
        </w:rPr>
        <w:t>4、水土保持措施及投资实施情况</w:t>
      </w:r>
    </w:p>
    <w:p>
      <w:pPr>
        <w:adjustRightInd w:val="0"/>
        <w:spacing w:line="360" w:lineRule="auto"/>
        <w:ind w:firstLine="480" w:firstLineChars="200"/>
        <w:contextualSpacing/>
        <w:rPr>
          <w:rFonts w:hint="eastAsia"/>
          <w:color w:val="auto"/>
          <w:kern w:val="0"/>
          <w:sz w:val="24"/>
        </w:rPr>
      </w:pPr>
      <w:r>
        <w:rPr>
          <w:rFonts w:hint="eastAsia"/>
          <w:color w:val="auto"/>
          <w:kern w:val="0"/>
          <w:sz w:val="24"/>
        </w:rPr>
        <w:t>项目已于2</w:t>
      </w:r>
      <w:r>
        <w:rPr>
          <w:color w:val="auto"/>
          <w:kern w:val="0"/>
          <w:sz w:val="24"/>
        </w:rPr>
        <w:t>022</w:t>
      </w:r>
      <w:r>
        <w:rPr>
          <w:rFonts w:hint="eastAsia"/>
          <w:color w:val="auto"/>
          <w:kern w:val="0"/>
          <w:sz w:val="24"/>
        </w:rPr>
        <w:t>年5月开工建设，已实施的水土保持措施有全面整地2</w:t>
      </w:r>
      <w:r>
        <w:rPr>
          <w:color w:val="auto"/>
          <w:kern w:val="0"/>
          <w:sz w:val="24"/>
        </w:rPr>
        <w:t>.59hm</w:t>
      </w:r>
      <w:r>
        <w:rPr>
          <w:color w:val="auto"/>
          <w:kern w:val="0"/>
          <w:sz w:val="24"/>
          <w:vertAlign w:val="superscript"/>
        </w:rPr>
        <w:t>2</w:t>
      </w:r>
      <w:r>
        <w:rPr>
          <w:rFonts w:hint="eastAsia"/>
          <w:color w:val="auto"/>
          <w:kern w:val="0"/>
          <w:sz w:val="24"/>
        </w:rPr>
        <w:t>、临时苫盖及拆除4</w:t>
      </w:r>
      <w:r>
        <w:rPr>
          <w:color w:val="auto"/>
          <w:kern w:val="0"/>
          <w:sz w:val="24"/>
        </w:rPr>
        <w:t>3800m</w:t>
      </w:r>
      <w:r>
        <w:rPr>
          <w:color w:val="auto"/>
          <w:kern w:val="0"/>
          <w:sz w:val="24"/>
          <w:vertAlign w:val="superscript"/>
        </w:rPr>
        <w:t>2</w:t>
      </w:r>
      <w:r>
        <w:rPr>
          <w:rFonts w:hint="eastAsia"/>
          <w:color w:val="auto"/>
          <w:kern w:val="0"/>
          <w:sz w:val="24"/>
        </w:rPr>
        <w:t>、雨水管网（D</w:t>
      </w:r>
      <w:r>
        <w:rPr>
          <w:color w:val="auto"/>
          <w:kern w:val="0"/>
          <w:sz w:val="24"/>
        </w:rPr>
        <w:t>N1000~1200</w:t>
      </w:r>
      <w:r>
        <w:rPr>
          <w:rFonts w:hint="eastAsia"/>
          <w:color w:val="auto"/>
          <w:kern w:val="0"/>
          <w:sz w:val="24"/>
        </w:rPr>
        <w:t>混凝土管）2</w:t>
      </w:r>
      <w:r>
        <w:rPr>
          <w:color w:val="auto"/>
          <w:kern w:val="0"/>
          <w:sz w:val="24"/>
        </w:rPr>
        <w:t>49m</w:t>
      </w:r>
      <w:r>
        <w:rPr>
          <w:rFonts w:hint="eastAsia"/>
          <w:color w:val="auto"/>
          <w:kern w:val="0"/>
          <w:sz w:val="24"/>
        </w:rPr>
        <w:t>、雨水井1</w:t>
      </w:r>
      <w:r>
        <w:rPr>
          <w:color w:val="auto"/>
          <w:kern w:val="0"/>
          <w:sz w:val="24"/>
        </w:rPr>
        <w:t>8</w:t>
      </w:r>
      <w:r>
        <w:rPr>
          <w:rFonts w:hint="eastAsia"/>
          <w:color w:val="auto"/>
          <w:kern w:val="0"/>
          <w:sz w:val="24"/>
        </w:rPr>
        <w:t>座，水土保持措施已投资约6</w:t>
      </w:r>
      <w:r>
        <w:rPr>
          <w:color w:val="auto"/>
          <w:kern w:val="0"/>
          <w:sz w:val="24"/>
        </w:rPr>
        <w:t>1.10</w:t>
      </w:r>
      <w:r>
        <w:rPr>
          <w:rFonts w:hint="eastAsia"/>
          <w:color w:val="auto"/>
          <w:kern w:val="0"/>
          <w:sz w:val="24"/>
        </w:rPr>
        <w:t>万元。</w:t>
      </w:r>
    </w:p>
    <w:p>
      <w:pPr>
        <w:adjustRightInd w:val="0"/>
        <w:snapToGrid w:val="0"/>
        <w:spacing w:line="360" w:lineRule="auto"/>
        <w:contextualSpacing/>
        <w:outlineLvl w:val="2"/>
        <w:rPr>
          <w:b/>
          <w:bCs/>
          <w:color w:val="auto"/>
          <w:sz w:val="28"/>
          <w:szCs w:val="28"/>
        </w:rPr>
      </w:pPr>
      <w:r>
        <w:rPr>
          <w:b/>
          <w:bCs/>
          <w:color w:val="auto"/>
          <w:sz w:val="28"/>
          <w:szCs w:val="28"/>
        </w:rPr>
        <w:t>1.1.3自然简况</w:t>
      </w:r>
    </w:p>
    <w:p>
      <w:pPr>
        <w:adjustRightInd w:val="0"/>
        <w:spacing w:line="360" w:lineRule="auto"/>
        <w:ind w:firstLine="480" w:firstLineChars="200"/>
        <w:contextualSpacing/>
        <w:rPr>
          <w:color w:val="auto"/>
          <w:sz w:val="24"/>
        </w:rPr>
      </w:pPr>
      <w:r>
        <w:rPr>
          <w:color w:val="auto"/>
          <w:sz w:val="24"/>
        </w:rPr>
        <w:t>项目地处丘陵斜坡堆积地貌，场地西高东低，</w:t>
      </w:r>
      <w:r>
        <w:rPr>
          <w:rFonts w:hint="eastAsia"/>
          <w:color w:val="auto"/>
          <w:sz w:val="24"/>
        </w:rPr>
        <w:t>标高在298.05m~3</w:t>
      </w:r>
      <w:r>
        <w:rPr>
          <w:color w:val="auto"/>
          <w:sz w:val="24"/>
        </w:rPr>
        <w:t>05.51</w:t>
      </w:r>
      <w:r>
        <w:rPr>
          <w:rFonts w:hint="eastAsia"/>
          <w:color w:val="auto"/>
          <w:sz w:val="24"/>
        </w:rPr>
        <w:t>m之间，</w:t>
      </w:r>
      <w:r>
        <w:rPr>
          <w:color w:val="auto"/>
          <w:sz w:val="24"/>
        </w:rPr>
        <w:t>最大高差</w:t>
      </w:r>
      <w:r>
        <w:rPr>
          <w:rFonts w:hint="eastAsia"/>
          <w:color w:val="auto"/>
          <w:sz w:val="24"/>
        </w:rPr>
        <w:t>约</w:t>
      </w:r>
      <w:r>
        <w:rPr>
          <w:color w:val="auto"/>
          <w:sz w:val="24"/>
        </w:rPr>
        <w:t>7.46m。项目区属于中温带大陆性季风气候，全市年平均气温在 3.5℃～4.2℃之间，由南向北递减。全市≥10℃的积温在2450℃～2720℃。全市无霜期在140天左右，大部分地区初霜冻在9月下旬出现，终霜冻在五月上旬结束。全市年平均降水量多介于520～550</w:t>
      </w:r>
      <w:r>
        <w:rPr>
          <w:rFonts w:hint="eastAsia"/>
          <w:color w:val="auto"/>
          <w:sz w:val="24"/>
        </w:rPr>
        <w:t>m</w:t>
      </w:r>
      <w:r>
        <w:rPr>
          <w:color w:val="auto"/>
          <w:sz w:val="24"/>
        </w:rPr>
        <w:t>m，夏季降水占全年降水量60%以上。年平均相对湿度为65%左右。项目区土壤类型为</w:t>
      </w:r>
      <w:r>
        <w:rPr>
          <w:rFonts w:hint="eastAsia"/>
          <w:color w:val="auto"/>
          <w:sz w:val="24"/>
        </w:rPr>
        <w:t>暗色草甸土</w:t>
      </w:r>
      <w:r>
        <w:rPr>
          <w:color w:val="auto"/>
          <w:sz w:val="24"/>
        </w:rPr>
        <w:t>，植被类型</w:t>
      </w:r>
      <w:r>
        <w:rPr>
          <w:rFonts w:hint="eastAsia"/>
          <w:color w:val="auto"/>
          <w:sz w:val="24"/>
        </w:rPr>
        <w:t>为张广才岭完达山阔叶红松林亚区</w:t>
      </w:r>
      <w:r>
        <w:rPr>
          <w:color w:val="auto"/>
          <w:sz w:val="24"/>
        </w:rPr>
        <w:t>。根据</w:t>
      </w:r>
      <w:bookmarkStart w:id="16" w:name="_Hlk143089029"/>
      <w:r>
        <w:rPr>
          <w:color w:val="auto"/>
          <w:sz w:val="24"/>
        </w:rPr>
        <w:t>《全国水土保持规划（2015-2030年）》</w:t>
      </w:r>
      <w:bookmarkEnd w:id="16"/>
      <w:r>
        <w:rPr>
          <w:color w:val="auto"/>
          <w:sz w:val="24"/>
        </w:rPr>
        <w:t>，项目区属于全国水土保持区划一级区划的东北黑土区</w:t>
      </w:r>
      <w:r>
        <w:rPr>
          <w:rFonts w:hint="eastAsia"/>
          <w:color w:val="auto"/>
          <w:sz w:val="24"/>
        </w:rPr>
        <w:t>；</w:t>
      </w:r>
      <w:r>
        <w:rPr>
          <w:color w:val="auto"/>
          <w:sz w:val="24"/>
        </w:rPr>
        <w:t>根据《黑龙江省水土保持规划（2015-2030年）》</w:t>
      </w:r>
      <w:r>
        <w:rPr>
          <w:rFonts w:hint="eastAsia"/>
          <w:color w:val="auto"/>
          <w:sz w:val="24"/>
        </w:rPr>
        <w:t>，</w:t>
      </w:r>
      <w:r>
        <w:rPr>
          <w:color w:val="auto"/>
          <w:sz w:val="24"/>
        </w:rPr>
        <w:t>项目区属于</w:t>
      </w:r>
      <w:r>
        <w:rPr>
          <w:rFonts w:hint="eastAsia"/>
          <w:color w:val="auto"/>
          <w:sz w:val="24"/>
        </w:rPr>
        <w:t>国家</w:t>
      </w:r>
      <w:r>
        <w:rPr>
          <w:color w:val="auto"/>
          <w:sz w:val="24"/>
        </w:rPr>
        <w:t>级水土流失重点治理区。项目区不涉及其他水土保持敏感区。项目区水土流失类型为水蚀，土壤侵蚀强度以轻度侵蚀为主。水土保持区划属东北黑土区，容许土壤流失量为200t/（km²·a）。</w:t>
      </w:r>
    </w:p>
    <w:p>
      <w:pPr>
        <w:spacing w:line="360" w:lineRule="auto"/>
        <w:contextualSpacing/>
        <w:outlineLvl w:val="1"/>
        <w:rPr>
          <w:b/>
          <w:bCs/>
          <w:color w:val="auto"/>
          <w:sz w:val="30"/>
          <w:szCs w:val="30"/>
        </w:rPr>
      </w:pPr>
      <w:bookmarkStart w:id="17" w:name="_Toc145530037"/>
      <w:r>
        <w:rPr>
          <w:b/>
          <w:bCs/>
          <w:color w:val="auto"/>
          <w:sz w:val="30"/>
          <w:szCs w:val="30"/>
        </w:rPr>
        <w:t>1.2 编制依据</w:t>
      </w:r>
      <w:bookmarkEnd w:id="17"/>
    </w:p>
    <w:p>
      <w:pPr>
        <w:spacing w:line="360" w:lineRule="auto"/>
        <w:contextualSpacing/>
        <w:outlineLvl w:val="2"/>
        <w:rPr>
          <w:b/>
          <w:bCs/>
          <w:color w:val="auto"/>
          <w:sz w:val="28"/>
          <w:szCs w:val="28"/>
        </w:rPr>
      </w:pPr>
      <w:bookmarkStart w:id="18" w:name="_Hlk48724291"/>
      <w:r>
        <w:rPr>
          <w:b/>
          <w:bCs/>
          <w:color w:val="auto"/>
          <w:sz w:val="28"/>
          <w:szCs w:val="28"/>
        </w:rPr>
        <w:t>1.2.1 法律法规</w:t>
      </w:r>
    </w:p>
    <w:p>
      <w:pPr>
        <w:pStyle w:val="90"/>
        <w:ind w:firstLine="480"/>
        <w:contextualSpacing/>
        <w:rPr>
          <w:color w:val="auto"/>
          <w:sz w:val="24"/>
          <w:szCs w:val="24"/>
        </w:rPr>
      </w:pPr>
      <w:bookmarkStart w:id="19" w:name="_Toc147310402"/>
      <w:bookmarkStart w:id="20" w:name="_Toc145488411"/>
      <w:bookmarkStart w:id="21" w:name="_Toc147541489"/>
      <w:bookmarkStart w:id="22" w:name="_Toc146421125"/>
      <w:bookmarkStart w:id="23" w:name="_Toc146420536"/>
      <w:bookmarkStart w:id="24" w:name="_Toc147376540"/>
      <w:bookmarkStart w:id="25" w:name="_Toc146420303"/>
      <w:r>
        <w:rPr>
          <w:color w:val="auto"/>
          <w:sz w:val="24"/>
          <w:szCs w:val="24"/>
        </w:rPr>
        <w:t>1）《中华人民共和国水土保持法》（1991.6.29颁布并施行，2010.12.25修订，2011.3.1施行）；</w:t>
      </w:r>
    </w:p>
    <w:p>
      <w:pPr>
        <w:pStyle w:val="90"/>
        <w:ind w:firstLine="480"/>
        <w:contextualSpacing/>
        <w:rPr>
          <w:color w:val="auto"/>
          <w:sz w:val="24"/>
        </w:rPr>
      </w:pPr>
      <w:r>
        <w:rPr>
          <w:color w:val="auto"/>
          <w:sz w:val="24"/>
        </w:rPr>
        <w:t>2）《中华人民共和国黑土地保护法》（2022 年6 月24 日，第十三届全国人民代表大会常务委员会第三十五次会议通过；2022 年8 月1 日起施行）；</w:t>
      </w:r>
    </w:p>
    <w:p>
      <w:pPr>
        <w:pStyle w:val="90"/>
        <w:ind w:firstLine="480"/>
        <w:contextualSpacing/>
        <w:rPr>
          <w:color w:val="auto"/>
          <w:sz w:val="24"/>
        </w:rPr>
      </w:pPr>
      <w:r>
        <w:rPr>
          <w:color w:val="auto"/>
          <w:sz w:val="24"/>
        </w:rPr>
        <w:t>3）《黑龙江省水土保持条例》（2017 年12 月27 日颁布，2018 年3 月1日实施）；</w:t>
      </w:r>
    </w:p>
    <w:p>
      <w:pPr>
        <w:pStyle w:val="90"/>
        <w:ind w:firstLine="480"/>
        <w:contextualSpacing/>
        <w:rPr>
          <w:color w:val="auto"/>
          <w:sz w:val="24"/>
        </w:rPr>
      </w:pPr>
      <w:r>
        <w:rPr>
          <w:color w:val="auto"/>
          <w:sz w:val="24"/>
        </w:rPr>
        <w:t>4）《黑龙江省黑土地保护利用条例》（2022 年3 月1 日实行）</w:t>
      </w:r>
      <w:r>
        <w:rPr>
          <w:rFonts w:hint="eastAsia"/>
          <w:color w:val="auto"/>
          <w:sz w:val="24"/>
        </w:rPr>
        <w:t>。</w:t>
      </w:r>
    </w:p>
    <w:bookmarkEnd w:id="19"/>
    <w:bookmarkEnd w:id="20"/>
    <w:bookmarkEnd w:id="21"/>
    <w:bookmarkEnd w:id="22"/>
    <w:bookmarkEnd w:id="23"/>
    <w:bookmarkEnd w:id="24"/>
    <w:bookmarkEnd w:id="25"/>
    <w:p>
      <w:pPr>
        <w:spacing w:line="360" w:lineRule="auto"/>
        <w:contextualSpacing/>
        <w:outlineLvl w:val="2"/>
        <w:rPr>
          <w:b/>
          <w:bCs/>
          <w:color w:val="auto"/>
          <w:sz w:val="28"/>
          <w:szCs w:val="28"/>
        </w:rPr>
      </w:pPr>
      <w:r>
        <w:rPr>
          <w:b/>
          <w:bCs/>
          <w:color w:val="auto"/>
          <w:sz w:val="28"/>
          <w:szCs w:val="28"/>
        </w:rPr>
        <w:t>1.2.2 规范性文件</w:t>
      </w:r>
    </w:p>
    <w:p>
      <w:pPr>
        <w:pStyle w:val="90"/>
        <w:ind w:firstLine="480"/>
        <w:contextualSpacing/>
        <w:rPr>
          <w:color w:val="auto"/>
          <w:sz w:val="24"/>
        </w:rPr>
      </w:pPr>
      <w:r>
        <w:rPr>
          <w:color w:val="auto"/>
          <w:sz w:val="24"/>
        </w:rPr>
        <w:t>1）《水利部办公厅关于印发生产建设项目水土保持技术文件编写和印制格式规定（试行）的通知》（办水保〔2018〕135 号）；</w:t>
      </w:r>
    </w:p>
    <w:p>
      <w:pPr>
        <w:pStyle w:val="90"/>
        <w:ind w:firstLine="480"/>
        <w:contextualSpacing/>
        <w:rPr>
          <w:color w:val="auto"/>
          <w:sz w:val="24"/>
        </w:rPr>
      </w:pPr>
      <w:r>
        <w:rPr>
          <w:color w:val="auto"/>
          <w:sz w:val="24"/>
        </w:rPr>
        <w:t>2）《水利部关于进一步深化“放管服”改革全面加强水土保持监管的意见》（水保〔2019〕160 号）；</w:t>
      </w:r>
    </w:p>
    <w:p>
      <w:pPr>
        <w:pStyle w:val="90"/>
        <w:ind w:firstLine="480"/>
        <w:contextualSpacing/>
        <w:rPr>
          <w:color w:val="auto"/>
          <w:sz w:val="24"/>
          <w:szCs w:val="24"/>
        </w:rPr>
      </w:pPr>
      <w:r>
        <w:rPr>
          <w:color w:val="auto"/>
          <w:sz w:val="24"/>
        </w:rPr>
        <w:t>3）《水利部办公厅关于印发生产建设项目水土保持设施自主验收规程（试</w:t>
      </w:r>
      <w:r>
        <w:rPr>
          <w:color w:val="auto"/>
          <w:sz w:val="24"/>
          <w:szCs w:val="24"/>
        </w:rPr>
        <w:t>行）的通知》（办水保〔2018〕133 号）</w:t>
      </w:r>
      <w:r>
        <w:rPr>
          <w:rFonts w:hint="eastAsia"/>
          <w:color w:val="auto"/>
          <w:sz w:val="24"/>
          <w:szCs w:val="24"/>
        </w:rPr>
        <w:t>；</w:t>
      </w:r>
    </w:p>
    <w:p>
      <w:pPr>
        <w:pStyle w:val="90"/>
        <w:ind w:firstLine="480"/>
        <w:contextualSpacing/>
        <w:rPr>
          <w:color w:val="auto"/>
          <w:sz w:val="24"/>
        </w:rPr>
      </w:pPr>
      <w:r>
        <w:rPr>
          <w:color w:val="auto"/>
          <w:sz w:val="24"/>
        </w:rPr>
        <w:t>4</w:t>
      </w:r>
      <w:r>
        <w:rPr>
          <w:rFonts w:hint="eastAsia"/>
          <w:color w:val="auto"/>
          <w:sz w:val="24"/>
        </w:rPr>
        <w:t>）《生产建设项目水土保持方案管理办法》（</w:t>
      </w:r>
      <w:r>
        <w:rPr>
          <w:color w:val="auto"/>
          <w:sz w:val="24"/>
        </w:rPr>
        <w:t>2023</w:t>
      </w:r>
      <w:r>
        <w:rPr>
          <w:rFonts w:hint="eastAsia"/>
          <w:color w:val="auto"/>
          <w:sz w:val="24"/>
        </w:rPr>
        <w:t>年1月1</w:t>
      </w:r>
      <w:r>
        <w:rPr>
          <w:color w:val="auto"/>
          <w:sz w:val="24"/>
        </w:rPr>
        <w:t>7</w:t>
      </w:r>
      <w:r>
        <w:rPr>
          <w:rFonts w:hint="eastAsia"/>
          <w:color w:val="auto"/>
          <w:sz w:val="24"/>
        </w:rPr>
        <w:t>日水利部令第5</w:t>
      </w:r>
      <w:r>
        <w:rPr>
          <w:color w:val="auto"/>
          <w:sz w:val="24"/>
        </w:rPr>
        <w:t>3</w:t>
      </w:r>
      <w:r>
        <w:rPr>
          <w:rFonts w:hint="eastAsia"/>
          <w:color w:val="auto"/>
          <w:sz w:val="24"/>
        </w:rPr>
        <w:t>号发布）。</w:t>
      </w:r>
    </w:p>
    <w:p>
      <w:pPr>
        <w:spacing w:line="360" w:lineRule="auto"/>
        <w:contextualSpacing/>
        <w:outlineLvl w:val="2"/>
        <w:rPr>
          <w:b/>
          <w:bCs/>
          <w:color w:val="auto"/>
          <w:sz w:val="28"/>
          <w:szCs w:val="28"/>
        </w:rPr>
      </w:pPr>
      <w:r>
        <w:rPr>
          <w:b/>
          <w:bCs/>
          <w:color w:val="auto"/>
          <w:sz w:val="28"/>
          <w:szCs w:val="28"/>
        </w:rPr>
        <w:t>1.2.3 技术规范与标准</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1)《生产建设项目水土保持技术标准》(GB50433-2018)；</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2)《生产建设项目水土流失防治标准》(GB/T50434-2018)；</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 《水土保持工程设计规范》(GB51018－2014)；</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4) 《水土保持工程调查与勘测标准》(GB/T51297-2018)；</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5) 《水利水电工程制图标准 水土保持图》(SL73.6-2015)；</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6) 《土壤侵蚀分类分级标准》(SL190-2007)；</w:t>
      </w:r>
    </w:p>
    <w:p>
      <w:pPr>
        <w:pStyle w:val="43"/>
        <w:adjustRightInd w:val="0"/>
        <w:snapToGrid w:val="0"/>
        <w:spacing w:line="360" w:lineRule="auto"/>
        <w:ind w:firstLine="48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7) 《土地利用现状分类》(GB/T 21010-2017)。</w:t>
      </w:r>
    </w:p>
    <w:bookmarkEnd w:id="18"/>
    <w:p>
      <w:pPr>
        <w:spacing w:line="360" w:lineRule="auto"/>
        <w:contextualSpacing/>
        <w:outlineLvl w:val="2"/>
        <w:rPr>
          <w:b/>
          <w:bCs/>
          <w:color w:val="auto"/>
          <w:sz w:val="28"/>
          <w:szCs w:val="28"/>
        </w:rPr>
      </w:pPr>
      <w:r>
        <w:rPr>
          <w:b/>
          <w:bCs/>
          <w:color w:val="auto"/>
          <w:sz w:val="28"/>
          <w:szCs w:val="28"/>
        </w:rPr>
        <w:t>1.2.4 技术文件</w:t>
      </w:r>
    </w:p>
    <w:p>
      <w:pPr>
        <w:pStyle w:val="43"/>
        <w:spacing w:line="360" w:lineRule="auto"/>
        <w:ind w:left="562" w:firstLine="0" w:firstLineChars="0"/>
        <w:contextualSpacing/>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r>
        <w:rPr>
          <w:rFonts w:ascii="Times New Roman" w:hAnsi="Times New Roman" w:eastAsia="仿宋_GB2312" w:cs="Times New Roman"/>
          <w:color w:val="auto"/>
          <w:sz w:val="24"/>
          <w:szCs w:val="24"/>
        </w:rPr>
        <w:t>《全国水土保持规划（2015-2030 年）》</w:t>
      </w:r>
      <w:r>
        <w:rPr>
          <w:rFonts w:hint="eastAsia" w:ascii="Times New Roman" w:hAnsi="Times New Roman" w:eastAsia="仿宋_GB2312" w:cs="Times New Roman"/>
          <w:color w:val="auto"/>
          <w:sz w:val="24"/>
          <w:szCs w:val="24"/>
        </w:rPr>
        <w:t>；</w:t>
      </w:r>
    </w:p>
    <w:p>
      <w:pPr>
        <w:pStyle w:val="43"/>
        <w:spacing w:line="360" w:lineRule="auto"/>
        <w:ind w:left="562" w:firstLine="0" w:firstLineChars="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2）《黑龙江省水土保持规划（2015-2030 年）》（黑龙江省水利厅，2016.7）；</w:t>
      </w:r>
    </w:p>
    <w:p>
      <w:pPr>
        <w:pStyle w:val="43"/>
        <w:spacing w:line="360" w:lineRule="auto"/>
        <w:ind w:left="562" w:firstLine="0" w:firstLineChars="0"/>
        <w:contextualSpacing/>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3）项目总平面布置图、综合管网图等。</w:t>
      </w:r>
    </w:p>
    <w:p>
      <w:pPr>
        <w:spacing w:line="360" w:lineRule="auto"/>
        <w:contextualSpacing/>
        <w:outlineLvl w:val="1"/>
        <w:rPr>
          <w:b/>
          <w:bCs/>
          <w:color w:val="auto"/>
          <w:sz w:val="30"/>
          <w:szCs w:val="30"/>
        </w:rPr>
      </w:pPr>
      <w:bookmarkStart w:id="26" w:name="_Toc145530038"/>
      <w:r>
        <w:rPr>
          <w:b/>
          <w:bCs/>
          <w:color w:val="auto"/>
          <w:sz w:val="30"/>
          <w:szCs w:val="30"/>
        </w:rPr>
        <w:t>1.3 设计水平年</w:t>
      </w:r>
      <w:bookmarkEnd w:id="26"/>
    </w:p>
    <w:p>
      <w:pPr>
        <w:spacing w:line="360" w:lineRule="auto"/>
        <w:ind w:firstLine="480" w:firstLineChars="200"/>
        <w:contextualSpacing/>
        <w:rPr>
          <w:color w:val="auto"/>
          <w:sz w:val="24"/>
        </w:rPr>
      </w:pPr>
      <w:r>
        <w:rPr>
          <w:color w:val="auto"/>
          <w:sz w:val="24"/>
        </w:rPr>
        <w:t>本项目为新建建设类项目，</w:t>
      </w:r>
      <w:r>
        <w:rPr>
          <w:rFonts w:hint="eastAsia"/>
          <w:color w:val="auto"/>
          <w:sz w:val="24"/>
        </w:rPr>
        <w:t>项目</w:t>
      </w:r>
      <w:r>
        <w:rPr>
          <w:color w:val="auto"/>
          <w:sz w:val="24"/>
        </w:rPr>
        <w:t>施工工期为2022年5月至2023年12月。根据《生产建设项目水土保持技术标准》（GB50433－2018）中规定，本项目水土保持设计水平年为工程完工</w:t>
      </w:r>
      <w:r>
        <w:rPr>
          <w:rFonts w:hint="eastAsia"/>
          <w:color w:val="auto"/>
          <w:sz w:val="24"/>
        </w:rPr>
        <w:t>后的</w:t>
      </w:r>
      <w:r>
        <w:rPr>
          <w:color w:val="auto"/>
          <w:sz w:val="24"/>
        </w:rPr>
        <w:t>当年</w:t>
      </w:r>
      <w:r>
        <w:rPr>
          <w:rFonts w:hint="eastAsia"/>
          <w:color w:val="auto"/>
          <w:sz w:val="24"/>
        </w:rPr>
        <w:t>或后一年</w:t>
      </w:r>
      <w:r>
        <w:rPr>
          <w:color w:val="auto"/>
          <w:sz w:val="24"/>
        </w:rPr>
        <w:t>，本方案的设计水平年为2024年。</w:t>
      </w:r>
    </w:p>
    <w:p>
      <w:pPr>
        <w:spacing w:line="360" w:lineRule="auto"/>
        <w:contextualSpacing/>
        <w:outlineLvl w:val="1"/>
        <w:rPr>
          <w:b/>
          <w:bCs/>
          <w:color w:val="auto"/>
          <w:sz w:val="30"/>
          <w:szCs w:val="30"/>
        </w:rPr>
      </w:pPr>
      <w:bookmarkStart w:id="27" w:name="_Toc145530039"/>
      <w:r>
        <w:rPr>
          <w:b/>
          <w:bCs/>
          <w:color w:val="auto"/>
          <w:sz w:val="30"/>
          <w:szCs w:val="30"/>
        </w:rPr>
        <w:t>1.4 水土流失防治责任范围</w:t>
      </w:r>
      <w:bookmarkEnd w:id="27"/>
    </w:p>
    <w:p>
      <w:pPr>
        <w:adjustRightInd w:val="0"/>
        <w:snapToGrid w:val="0"/>
        <w:spacing w:line="360" w:lineRule="auto"/>
        <w:ind w:firstLine="480" w:firstLineChars="200"/>
        <w:contextualSpacing/>
        <w:rPr>
          <w:color w:val="auto"/>
          <w:sz w:val="24"/>
        </w:rPr>
      </w:pPr>
      <w:r>
        <w:rPr>
          <w:color w:val="auto"/>
          <w:sz w:val="24"/>
        </w:rPr>
        <w:t>根据《中华人民共和国水土保持法》中“谁开发、谁保护，谁造成水土流失、谁负责治理”的原则与规定，凡在生产建设过程中造成的水土流失，都必须采取有效的防治措施进行治理。本工程建设单位鸡西市麻山区住房和城乡建设局为本工程的水土流失防治责任者。根据《生产建设项目水土保持技术标准》（GB50433－2018）和《黑龙江省水土保持条例》中规定，生产建设项目水土流失防治责任范围包括项目永久征地、临时占地(含租赁土地)以及其他使用与管辖区域。</w:t>
      </w:r>
    </w:p>
    <w:p>
      <w:pPr>
        <w:adjustRightInd w:val="0"/>
        <w:snapToGrid w:val="0"/>
        <w:spacing w:line="360" w:lineRule="auto"/>
        <w:ind w:firstLine="480" w:firstLineChars="200"/>
        <w:contextualSpacing/>
        <w:rPr>
          <w:color w:val="auto"/>
          <w:sz w:val="24"/>
        </w:rPr>
      </w:pPr>
      <w:r>
        <w:rPr>
          <w:color w:val="auto"/>
          <w:sz w:val="24"/>
        </w:rPr>
        <w:t>本项目占地面积为4.19hm</w:t>
      </w:r>
      <w:r>
        <w:rPr>
          <w:color w:val="auto"/>
          <w:sz w:val="24"/>
          <w:vertAlign w:val="superscript"/>
        </w:rPr>
        <w:t>2</w:t>
      </w:r>
      <w:r>
        <w:rPr>
          <w:color w:val="auto"/>
          <w:sz w:val="24"/>
        </w:rPr>
        <w:t>，包括建构筑物区面积0.82hm</w:t>
      </w:r>
      <w:r>
        <w:rPr>
          <w:color w:val="auto"/>
          <w:sz w:val="24"/>
          <w:vertAlign w:val="superscript"/>
        </w:rPr>
        <w:t>2</w:t>
      </w:r>
      <w:r>
        <w:rPr>
          <w:color w:val="auto"/>
          <w:sz w:val="24"/>
        </w:rPr>
        <w:t>，道路硬化区面积0.58hm</w:t>
      </w:r>
      <w:r>
        <w:rPr>
          <w:color w:val="auto"/>
          <w:sz w:val="24"/>
          <w:vertAlign w:val="superscript"/>
        </w:rPr>
        <w:t>2</w:t>
      </w:r>
      <w:r>
        <w:rPr>
          <w:rFonts w:hint="eastAsia"/>
          <w:color w:val="auto"/>
          <w:sz w:val="24"/>
        </w:rPr>
        <w:t>，绿化区</w:t>
      </w:r>
      <w:r>
        <w:rPr>
          <w:color w:val="auto"/>
          <w:sz w:val="24"/>
        </w:rPr>
        <w:t>1.60hm</w:t>
      </w:r>
      <w:r>
        <w:rPr>
          <w:color w:val="auto"/>
          <w:sz w:val="24"/>
          <w:vertAlign w:val="superscript"/>
        </w:rPr>
        <w:t>2</w:t>
      </w:r>
      <w:r>
        <w:rPr>
          <w:rFonts w:hint="eastAsia"/>
          <w:color w:val="auto"/>
          <w:sz w:val="24"/>
        </w:rPr>
        <w:t>，</w:t>
      </w:r>
      <w:r>
        <w:rPr>
          <w:color w:val="auto"/>
          <w:sz w:val="24"/>
        </w:rPr>
        <w:t>施工生产区0.10hm</w:t>
      </w:r>
      <w:r>
        <w:rPr>
          <w:color w:val="auto"/>
          <w:sz w:val="24"/>
          <w:vertAlign w:val="superscript"/>
        </w:rPr>
        <w:t>2</w:t>
      </w:r>
      <w:r>
        <w:rPr>
          <w:rFonts w:hint="eastAsia"/>
          <w:color w:val="auto"/>
          <w:sz w:val="24"/>
        </w:rPr>
        <w:t>（重复占地），工业园区管网区占地面积1</w:t>
      </w:r>
      <w:r>
        <w:rPr>
          <w:color w:val="auto"/>
          <w:sz w:val="24"/>
        </w:rPr>
        <w:t>.19hm</w:t>
      </w:r>
      <w:r>
        <w:rPr>
          <w:color w:val="auto"/>
          <w:sz w:val="24"/>
          <w:vertAlign w:val="superscript"/>
        </w:rPr>
        <w:t>2</w:t>
      </w:r>
      <w:r>
        <w:rPr>
          <w:rFonts w:hint="eastAsia"/>
          <w:color w:val="auto"/>
          <w:sz w:val="24"/>
        </w:rPr>
        <w:t>。</w:t>
      </w:r>
      <w:r>
        <w:rPr>
          <w:color w:val="auto"/>
          <w:sz w:val="24"/>
        </w:rPr>
        <w:t xml:space="preserve"> </w:t>
      </w:r>
    </w:p>
    <w:p>
      <w:pPr>
        <w:spacing w:line="360" w:lineRule="auto"/>
        <w:contextualSpacing/>
        <w:outlineLvl w:val="1"/>
        <w:rPr>
          <w:b/>
          <w:bCs/>
          <w:color w:val="auto"/>
          <w:sz w:val="30"/>
          <w:szCs w:val="30"/>
        </w:rPr>
      </w:pPr>
      <w:bookmarkStart w:id="28" w:name="_Toc522647691"/>
      <w:bookmarkStart w:id="29" w:name="_Toc521945560"/>
      <w:bookmarkStart w:id="30" w:name="_Toc486320398"/>
      <w:bookmarkStart w:id="31" w:name="_Toc145530040"/>
      <w:r>
        <w:rPr>
          <w:b/>
          <w:bCs/>
          <w:color w:val="auto"/>
          <w:sz w:val="30"/>
          <w:szCs w:val="30"/>
        </w:rPr>
        <w:t xml:space="preserve">1.5 </w:t>
      </w:r>
      <w:bookmarkEnd w:id="28"/>
      <w:bookmarkEnd w:id="29"/>
      <w:bookmarkEnd w:id="30"/>
      <w:r>
        <w:rPr>
          <w:b/>
          <w:bCs/>
          <w:color w:val="auto"/>
          <w:sz w:val="30"/>
          <w:szCs w:val="30"/>
        </w:rPr>
        <w:t>水土流失防治目标</w:t>
      </w:r>
      <w:bookmarkEnd w:id="31"/>
    </w:p>
    <w:p>
      <w:pPr>
        <w:spacing w:line="360" w:lineRule="auto"/>
        <w:contextualSpacing/>
        <w:outlineLvl w:val="2"/>
        <w:rPr>
          <w:b/>
          <w:bCs/>
          <w:color w:val="auto"/>
          <w:sz w:val="28"/>
          <w:szCs w:val="28"/>
        </w:rPr>
      </w:pPr>
      <w:r>
        <w:rPr>
          <w:b/>
          <w:bCs/>
          <w:color w:val="auto"/>
          <w:sz w:val="28"/>
          <w:szCs w:val="28"/>
        </w:rPr>
        <w:t>1.5.1 执行标准等级</w:t>
      </w:r>
    </w:p>
    <w:p>
      <w:pPr>
        <w:adjustRightInd w:val="0"/>
        <w:spacing w:line="360" w:lineRule="auto"/>
        <w:ind w:firstLine="480" w:firstLineChars="200"/>
        <w:contextualSpacing/>
        <w:rPr>
          <w:color w:val="auto"/>
          <w:sz w:val="24"/>
        </w:rPr>
      </w:pPr>
      <w:r>
        <w:rPr>
          <w:color w:val="auto"/>
          <w:sz w:val="24"/>
        </w:rPr>
        <w:t>根据《黑龙江省水土保持规划（2015-2030 年）》，项目区所在的</w:t>
      </w:r>
      <w:r>
        <w:rPr>
          <w:rFonts w:hint="eastAsia"/>
          <w:color w:val="auto"/>
          <w:sz w:val="24"/>
        </w:rPr>
        <w:t>鸡西市</w:t>
      </w:r>
      <w:r>
        <w:rPr>
          <w:color w:val="auto"/>
          <w:sz w:val="24"/>
        </w:rPr>
        <w:t>属于</w:t>
      </w:r>
      <w:r>
        <w:rPr>
          <w:rFonts w:hint="eastAsia"/>
          <w:color w:val="auto"/>
          <w:sz w:val="24"/>
        </w:rPr>
        <w:t>国家</w:t>
      </w:r>
      <w:r>
        <w:rPr>
          <w:color w:val="auto"/>
          <w:sz w:val="24"/>
        </w:rPr>
        <w:t>级水土流失重点治理区</w:t>
      </w:r>
      <w:r>
        <w:rPr>
          <w:rFonts w:hint="eastAsia"/>
          <w:color w:val="auto"/>
          <w:sz w:val="24"/>
        </w:rPr>
        <w:t>，</w:t>
      </w:r>
      <w:r>
        <w:rPr>
          <w:color w:val="auto"/>
          <w:sz w:val="24"/>
        </w:rPr>
        <w:t>按照《生产建设项目水土流失防治标准》（GB/T50434-2018），水土流失防治标准执行东北黑土区一级标准。</w:t>
      </w:r>
    </w:p>
    <w:p>
      <w:pPr>
        <w:spacing w:line="360" w:lineRule="auto"/>
        <w:contextualSpacing/>
        <w:outlineLvl w:val="2"/>
        <w:rPr>
          <w:b/>
          <w:bCs/>
          <w:color w:val="auto"/>
          <w:sz w:val="28"/>
          <w:szCs w:val="28"/>
        </w:rPr>
      </w:pPr>
      <w:r>
        <w:rPr>
          <w:b/>
          <w:bCs/>
          <w:color w:val="auto"/>
          <w:sz w:val="28"/>
          <w:szCs w:val="28"/>
        </w:rPr>
        <w:t>1.5.2 防治目标</w:t>
      </w:r>
    </w:p>
    <w:p>
      <w:pPr>
        <w:adjustRightInd w:val="0"/>
        <w:snapToGrid w:val="0"/>
        <w:spacing w:line="360" w:lineRule="auto"/>
        <w:contextualSpacing/>
        <w:outlineLvl w:val="2"/>
        <w:rPr>
          <w:b/>
          <w:bCs/>
          <w:color w:val="auto"/>
          <w:sz w:val="24"/>
        </w:rPr>
      </w:pPr>
      <w:r>
        <w:rPr>
          <w:b/>
          <w:bCs/>
          <w:color w:val="auto"/>
          <w:sz w:val="24"/>
        </w:rPr>
        <w:t>1.5.2.1定性目标</w:t>
      </w:r>
    </w:p>
    <w:p>
      <w:pPr>
        <w:numPr>
          <w:ilvl w:val="0"/>
          <w:numId w:val="2"/>
        </w:numPr>
        <w:spacing w:line="360" w:lineRule="auto"/>
        <w:ind w:firstLine="480" w:firstLineChars="200"/>
        <w:contextualSpacing/>
        <w:rPr>
          <w:color w:val="auto"/>
          <w:kern w:val="10"/>
          <w:sz w:val="24"/>
        </w:rPr>
      </w:pPr>
      <w:r>
        <w:rPr>
          <w:color w:val="auto"/>
          <w:kern w:val="10"/>
          <w:sz w:val="24"/>
        </w:rPr>
        <w:t>项目建设范围内的新增水土流失会得到有效控制，原有水土流失得到治理；</w:t>
      </w:r>
    </w:p>
    <w:p>
      <w:pPr>
        <w:numPr>
          <w:ilvl w:val="0"/>
          <w:numId w:val="2"/>
        </w:numPr>
        <w:spacing w:line="360" w:lineRule="auto"/>
        <w:ind w:firstLine="480" w:firstLineChars="200"/>
        <w:contextualSpacing/>
        <w:rPr>
          <w:color w:val="auto"/>
          <w:kern w:val="10"/>
          <w:sz w:val="24"/>
        </w:rPr>
      </w:pPr>
      <w:r>
        <w:rPr>
          <w:color w:val="auto"/>
          <w:kern w:val="10"/>
          <w:sz w:val="24"/>
        </w:rPr>
        <w:t>水土保持设施应安全有效；</w:t>
      </w:r>
    </w:p>
    <w:p>
      <w:pPr>
        <w:numPr>
          <w:ilvl w:val="0"/>
          <w:numId w:val="2"/>
        </w:numPr>
        <w:spacing w:line="360" w:lineRule="auto"/>
        <w:ind w:firstLine="480" w:firstLineChars="200"/>
        <w:contextualSpacing/>
        <w:rPr>
          <w:color w:val="auto"/>
          <w:sz w:val="24"/>
        </w:rPr>
      </w:pPr>
      <w:r>
        <w:rPr>
          <w:color w:val="auto"/>
          <w:kern w:val="10"/>
          <w:sz w:val="24"/>
        </w:rPr>
        <w:t>水土资源、林草植被应会得到最大限度的保护与恢复;</w:t>
      </w:r>
    </w:p>
    <w:p>
      <w:pPr>
        <w:numPr>
          <w:ilvl w:val="0"/>
          <w:numId w:val="2"/>
        </w:numPr>
        <w:spacing w:line="360" w:lineRule="auto"/>
        <w:ind w:firstLine="480" w:firstLineChars="200"/>
        <w:contextualSpacing/>
        <w:rPr>
          <w:color w:val="auto"/>
          <w:sz w:val="24"/>
        </w:rPr>
      </w:pPr>
      <w:r>
        <w:rPr>
          <w:color w:val="auto"/>
          <w:kern w:val="10"/>
          <w:sz w:val="24"/>
        </w:rPr>
        <w:t>水土流失治理度、土壤流失控制比、渣土防护率、表土保护率、林草植被恢复率、林草覆盖率六项指标应符合现行国家标准《</w:t>
      </w:r>
      <w:r>
        <w:rPr>
          <w:color w:val="auto"/>
          <w:sz w:val="24"/>
        </w:rPr>
        <w:t>生产建设项目水土流失防治标准</w:t>
      </w:r>
      <w:r>
        <w:rPr>
          <w:color w:val="auto"/>
          <w:kern w:val="10"/>
          <w:sz w:val="24"/>
        </w:rPr>
        <w:t>》</w:t>
      </w:r>
      <w:r>
        <w:rPr>
          <w:color w:val="auto"/>
          <w:sz w:val="24"/>
        </w:rPr>
        <w:t>（GB /T 50434-2018）的规定</w:t>
      </w:r>
      <w:r>
        <w:rPr>
          <w:color w:val="auto"/>
          <w:kern w:val="10"/>
          <w:sz w:val="24"/>
        </w:rPr>
        <w:t>。</w:t>
      </w:r>
    </w:p>
    <w:p>
      <w:pPr>
        <w:adjustRightInd w:val="0"/>
        <w:snapToGrid w:val="0"/>
        <w:spacing w:line="360" w:lineRule="auto"/>
        <w:contextualSpacing/>
        <w:outlineLvl w:val="2"/>
        <w:rPr>
          <w:b/>
          <w:bCs/>
          <w:color w:val="auto"/>
          <w:sz w:val="24"/>
        </w:rPr>
      </w:pPr>
      <w:r>
        <w:rPr>
          <w:b/>
          <w:bCs/>
          <w:color w:val="auto"/>
          <w:sz w:val="24"/>
        </w:rPr>
        <w:t>1.5.2.2定量目标</w:t>
      </w:r>
    </w:p>
    <w:p>
      <w:pPr>
        <w:adjustRightInd w:val="0"/>
        <w:spacing w:line="360" w:lineRule="auto"/>
        <w:ind w:firstLine="480" w:firstLineChars="200"/>
        <w:contextualSpacing/>
        <w:rPr>
          <w:color w:val="auto"/>
          <w:sz w:val="24"/>
        </w:rPr>
      </w:pPr>
      <w:r>
        <w:rPr>
          <w:color w:val="auto"/>
          <w:sz w:val="24"/>
        </w:rPr>
        <w:t>按照《生产建设项目水土流失防治标准》（GB50434-2018），本项目水土流失防治执行东北黑土区项目一级标准。项目区土壤侵蚀类型为水力侵蚀，位于轻度为主的区域，土壤流失控制比应不小于1.0；项目区位于</w:t>
      </w:r>
      <w:r>
        <w:rPr>
          <w:rFonts w:hint="eastAsia"/>
          <w:color w:val="auto"/>
          <w:sz w:val="24"/>
        </w:rPr>
        <w:t>工业园</w:t>
      </w:r>
      <w:r>
        <w:rPr>
          <w:color w:val="auto"/>
          <w:sz w:val="24"/>
        </w:rPr>
        <w:t>区内，渣土防护率提高1%</w:t>
      </w:r>
      <w:r>
        <w:rPr>
          <w:rFonts w:hint="eastAsia"/>
          <w:color w:val="auto"/>
          <w:sz w:val="24"/>
        </w:rPr>
        <w:t>；本项目无可剥离的表土，对表土保护率不做要求</w:t>
      </w:r>
      <w:r>
        <w:rPr>
          <w:color w:val="auto"/>
          <w:sz w:val="24"/>
        </w:rPr>
        <w:t>。</w:t>
      </w:r>
    </w:p>
    <w:p>
      <w:pPr>
        <w:adjustRightInd w:val="0"/>
        <w:spacing w:line="360" w:lineRule="auto"/>
        <w:ind w:firstLine="480" w:firstLineChars="200"/>
        <w:contextualSpacing/>
        <w:rPr>
          <w:color w:val="auto"/>
          <w:sz w:val="24"/>
        </w:rPr>
      </w:pPr>
      <w:r>
        <w:rPr>
          <w:rFonts w:hint="eastAsia"/>
          <w:color w:val="auto"/>
          <w:sz w:val="24"/>
        </w:rPr>
        <w:t>综上</w:t>
      </w:r>
      <w:r>
        <w:rPr>
          <w:color w:val="auto"/>
          <w:sz w:val="24"/>
        </w:rPr>
        <w:t>，本项目设计水平年六项防治目标值为：水土流失治理度97%，土壤流失控制比1.0，渣土防护率98%，林草植被恢复率</w:t>
      </w:r>
      <w:r>
        <w:rPr>
          <w:rFonts w:hint="eastAsia"/>
          <w:color w:val="auto"/>
          <w:sz w:val="24"/>
        </w:rPr>
        <w:t>9</w:t>
      </w:r>
      <w:r>
        <w:rPr>
          <w:color w:val="auto"/>
          <w:sz w:val="24"/>
        </w:rPr>
        <w:t>7</w:t>
      </w:r>
      <w:r>
        <w:rPr>
          <w:rFonts w:hint="eastAsia"/>
          <w:color w:val="auto"/>
          <w:sz w:val="24"/>
        </w:rPr>
        <w:t>，</w:t>
      </w:r>
      <w:r>
        <w:rPr>
          <w:color w:val="auto"/>
          <w:sz w:val="24"/>
        </w:rPr>
        <w:t>林草覆盖率</w:t>
      </w:r>
      <w:r>
        <w:rPr>
          <w:rFonts w:hint="eastAsia"/>
          <w:color w:val="auto"/>
          <w:sz w:val="24"/>
        </w:rPr>
        <w:t>2</w:t>
      </w:r>
      <w:r>
        <w:rPr>
          <w:color w:val="auto"/>
          <w:sz w:val="24"/>
        </w:rPr>
        <w:t>5</w:t>
      </w:r>
      <w:r>
        <w:rPr>
          <w:rFonts w:hint="eastAsia"/>
          <w:color w:val="auto"/>
          <w:sz w:val="24"/>
        </w:rPr>
        <w:t>，</w:t>
      </w:r>
      <w:r>
        <w:rPr>
          <w:color w:val="auto"/>
          <w:sz w:val="24"/>
        </w:rPr>
        <w:t>表土保护率</w:t>
      </w:r>
      <w:r>
        <w:rPr>
          <w:rFonts w:hint="eastAsia"/>
          <w:color w:val="auto"/>
          <w:sz w:val="24"/>
        </w:rPr>
        <w:t>不作要求</w:t>
      </w:r>
      <w:r>
        <w:rPr>
          <w:color w:val="auto"/>
          <w:sz w:val="24"/>
        </w:rPr>
        <w:t>，详见表1.5-1。</w:t>
      </w:r>
    </w:p>
    <w:p>
      <w:pPr>
        <w:pStyle w:val="11"/>
        <w:adjustRightInd w:val="0"/>
        <w:snapToGrid w:val="0"/>
        <w:spacing w:after="0" w:line="300" w:lineRule="auto"/>
        <w:contextualSpacing/>
        <w:jc w:val="center"/>
        <w:rPr>
          <w:b/>
          <w:color w:val="auto"/>
          <w:sz w:val="21"/>
          <w:szCs w:val="21"/>
        </w:rPr>
      </w:pPr>
      <w:r>
        <w:rPr>
          <w:b/>
          <w:color w:val="auto"/>
          <w:sz w:val="21"/>
          <w:szCs w:val="21"/>
        </w:rPr>
        <w:t>表1.5-1 水土流失防治指标计算表</w:t>
      </w:r>
    </w:p>
    <w:tbl>
      <w:tblPr>
        <w:tblStyle w:val="25"/>
        <w:tblW w:w="57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85"/>
        <w:gridCol w:w="849"/>
        <w:gridCol w:w="851"/>
        <w:gridCol w:w="1415"/>
        <w:gridCol w:w="1415"/>
        <w:gridCol w:w="1274"/>
        <w:gridCol w:w="849"/>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vMerge w:val="restar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防治目标</w:t>
            </w:r>
          </w:p>
        </w:tc>
        <w:tc>
          <w:tcPr>
            <w:tcW w:w="883" w:type="pct"/>
            <w:gridSpan w:val="2"/>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基准值</w:t>
            </w:r>
          </w:p>
        </w:tc>
        <w:tc>
          <w:tcPr>
            <w:tcW w:w="2132" w:type="pct"/>
            <w:gridSpan w:val="3"/>
            <w:shd w:val="clear" w:color="auto" w:fill="auto"/>
            <w:vAlign w:val="center"/>
          </w:tcPr>
          <w:p>
            <w:pPr>
              <w:spacing w:line="240" w:lineRule="atLeast"/>
              <w:contextualSpacing/>
              <w:jc w:val="center"/>
              <w:rPr>
                <w:color w:val="auto"/>
                <w:kern w:val="0"/>
                <w:sz w:val="21"/>
                <w:szCs w:val="21"/>
              </w:rPr>
            </w:pPr>
            <w:r>
              <w:rPr>
                <w:color w:val="auto"/>
                <w:kern w:val="0"/>
                <w:sz w:val="21"/>
                <w:szCs w:val="21"/>
              </w:rPr>
              <w:t>修正值</w:t>
            </w:r>
          </w:p>
        </w:tc>
        <w:tc>
          <w:tcPr>
            <w:tcW w:w="903" w:type="pct"/>
            <w:gridSpan w:val="2"/>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vMerge w:val="continue"/>
            <w:vAlign w:val="center"/>
          </w:tcPr>
          <w:p>
            <w:pPr>
              <w:widowControl/>
              <w:spacing w:line="240" w:lineRule="atLeast"/>
              <w:contextualSpacing/>
              <w:jc w:val="center"/>
              <w:rPr>
                <w:color w:val="auto"/>
                <w:kern w:val="0"/>
                <w:sz w:val="21"/>
                <w:szCs w:val="21"/>
              </w:rPr>
            </w:pPr>
          </w:p>
        </w:tc>
        <w:tc>
          <w:tcPr>
            <w:tcW w:w="441" w:type="pct"/>
            <w:vMerge w:val="restar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施工期</w:t>
            </w:r>
          </w:p>
        </w:tc>
        <w:tc>
          <w:tcPr>
            <w:tcW w:w="442" w:type="pct"/>
            <w:vMerge w:val="restar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设计水平年</w:t>
            </w:r>
          </w:p>
        </w:tc>
        <w:tc>
          <w:tcPr>
            <w:tcW w:w="2132" w:type="pct"/>
            <w:gridSpan w:val="3"/>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依据防治标准条文及规划条件规定修正</w:t>
            </w:r>
          </w:p>
        </w:tc>
        <w:tc>
          <w:tcPr>
            <w:tcW w:w="441" w:type="pct"/>
            <w:vMerge w:val="restar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施工期</w:t>
            </w:r>
          </w:p>
        </w:tc>
        <w:tc>
          <w:tcPr>
            <w:tcW w:w="462" w:type="pct"/>
            <w:vMerge w:val="restar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设计水平年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vMerge w:val="continue"/>
            <w:vAlign w:val="center"/>
          </w:tcPr>
          <w:p>
            <w:pPr>
              <w:widowControl/>
              <w:spacing w:line="240" w:lineRule="atLeast"/>
              <w:contextualSpacing/>
              <w:jc w:val="center"/>
              <w:rPr>
                <w:color w:val="auto"/>
              </w:rPr>
            </w:pPr>
          </w:p>
        </w:tc>
        <w:tc>
          <w:tcPr>
            <w:tcW w:w="441" w:type="pct"/>
            <w:vMerge w:val="continue"/>
            <w:shd w:val="clear" w:color="auto" w:fill="auto"/>
            <w:noWrap/>
            <w:vAlign w:val="center"/>
          </w:tcPr>
          <w:p>
            <w:pPr>
              <w:widowControl/>
              <w:spacing w:line="240" w:lineRule="atLeast"/>
              <w:contextualSpacing/>
              <w:jc w:val="center"/>
              <w:rPr>
                <w:color w:val="auto"/>
              </w:rPr>
            </w:pPr>
          </w:p>
        </w:tc>
        <w:tc>
          <w:tcPr>
            <w:tcW w:w="442" w:type="pct"/>
            <w:vMerge w:val="continue"/>
            <w:shd w:val="clear" w:color="auto" w:fill="auto"/>
            <w:noWrap/>
            <w:vAlign w:val="center"/>
          </w:tcPr>
          <w:p>
            <w:pPr>
              <w:widowControl/>
              <w:spacing w:line="240" w:lineRule="atLeast"/>
              <w:contextualSpacing/>
              <w:jc w:val="center"/>
              <w:rPr>
                <w:color w:val="auto"/>
              </w:rPr>
            </w:pPr>
          </w:p>
        </w:tc>
        <w:tc>
          <w:tcPr>
            <w:tcW w:w="735" w:type="pct"/>
            <w:shd w:val="clear" w:color="auto" w:fill="auto"/>
            <w:noWrap/>
            <w:vAlign w:val="center"/>
          </w:tcPr>
          <w:p>
            <w:pPr>
              <w:widowControl/>
              <w:spacing w:line="240" w:lineRule="atLeast"/>
              <w:contextualSpacing/>
              <w:jc w:val="center"/>
              <w:rPr>
                <w:color w:val="auto"/>
                <w:kern w:val="0"/>
                <w:sz w:val="21"/>
                <w:szCs w:val="21"/>
              </w:rPr>
            </w:pPr>
            <w:r>
              <w:rPr>
                <w:color w:val="auto"/>
                <w:sz w:val="21"/>
                <w:szCs w:val="21"/>
              </w:rPr>
              <w:t>依据土壤轻度侵蚀强度调整</w:t>
            </w:r>
          </w:p>
        </w:tc>
        <w:tc>
          <w:tcPr>
            <w:tcW w:w="735" w:type="pct"/>
            <w:shd w:val="clear" w:color="auto" w:fill="auto"/>
            <w:noWrap/>
            <w:vAlign w:val="center"/>
          </w:tcPr>
          <w:p>
            <w:pPr>
              <w:widowControl/>
              <w:spacing w:line="240" w:lineRule="atLeast"/>
              <w:contextualSpacing/>
              <w:jc w:val="center"/>
              <w:rPr>
                <w:color w:val="auto"/>
                <w:kern w:val="0"/>
                <w:sz w:val="21"/>
                <w:szCs w:val="21"/>
              </w:rPr>
            </w:pPr>
            <w:r>
              <w:rPr>
                <w:color w:val="auto"/>
                <w:sz w:val="21"/>
                <w:szCs w:val="21"/>
              </w:rPr>
              <w:t>根据为避让重点治理区调整</w:t>
            </w:r>
          </w:p>
        </w:tc>
        <w:tc>
          <w:tcPr>
            <w:tcW w:w="662" w:type="pct"/>
            <w:shd w:val="clear" w:color="auto" w:fill="auto"/>
            <w:noWrap/>
            <w:vAlign w:val="center"/>
          </w:tcPr>
          <w:p>
            <w:pPr>
              <w:widowControl/>
              <w:spacing w:line="240" w:lineRule="atLeast"/>
              <w:contextualSpacing/>
              <w:jc w:val="center"/>
              <w:rPr>
                <w:color w:val="auto"/>
                <w:kern w:val="0"/>
                <w:sz w:val="21"/>
                <w:szCs w:val="21"/>
              </w:rPr>
            </w:pPr>
            <w:r>
              <w:rPr>
                <w:color w:val="auto"/>
                <w:sz w:val="21"/>
                <w:szCs w:val="21"/>
              </w:rPr>
              <w:t>根据项目</w:t>
            </w:r>
            <w:r>
              <w:rPr>
                <w:rFonts w:hint="eastAsia"/>
                <w:color w:val="auto"/>
                <w:sz w:val="21"/>
                <w:szCs w:val="21"/>
              </w:rPr>
              <w:t>实际情况</w:t>
            </w:r>
          </w:p>
        </w:tc>
        <w:tc>
          <w:tcPr>
            <w:tcW w:w="441" w:type="pct"/>
            <w:vMerge w:val="continue"/>
            <w:shd w:val="clear" w:color="auto" w:fill="auto"/>
            <w:noWrap/>
            <w:vAlign w:val="center"/>
          </w:tcPr>
          <w:p>
            <w:pPr>
              <w:widowControl/>
              <w:spacing w:line="240" w:lineRule="atLeast"/>
              <w:contextualSpacing/>
              <w:jc w:val="center"/>
              <w:rPr>
                <w:color w:val="auto"/>
                <w:kern w:val="0"/>
                <w:sz w:val="21"/>
                <w:szCs w:val="21"/>
              </w:rPr>
            </w:pPr>
          </w:p>
        </w:tc>
        <w:tc>
          <w:tcPr>
            <w:tcW w:w="462" w:type="pct"/>
            <w:vMerge w:val="continue"/>
            <w:shd w:val="clear" w:color="auto" w:fill="auto"/>
            <w:noWrap/>
            <w:vAlign w:val="center"/>
          </w:tcPr>
          <w:p>
            <w:pPr>
              <w:widowControl/>
              <w:spacing w:line="240" w:lineRule="atLeast"/>
              <w:contextualSpacing/>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水土流失治理度（%）</w:t>
            </w: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42"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97</w:t>
            </w: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662" w:type="pct"/>
            <w:shd w:val="clear" w:color="auto" w:fill="auto"/>
            <w:noWrap/>
            <w:vAlign w:val="center"/>
          </w:tcPr>
          <w:p>
            <w:pPr>
              <w:widowControl/>
              <w:spacing w:line="240" w:lineRule="atLeast"/>
              <w:contextualSpacing/>
              <w:jc w:val="center"/>
              <w:rPr>
                <w:color w:val="auto"/>
                <w:kern w:val="0"/>
                <w:sz w:val="21"/>
                <w:szCs w:val="21"/>
              </w:rPr>
            </w:pP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62"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土壤流失控制比</w:t>
            </w: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42"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0.90</w:t>
            </w:r>
          </w:p>
        </w:tc>
        <w:tc>
          <w:tcPr>
            <w:tcW w:w="735"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+0.10</w:t>
            </w: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662" w:type="pct"/>
            <w:shd w:val="clear" w:color="auto" w:fill="auto"/>
            <w:noWrap/>
            <w:vAlign w:val="center"/>
          </w:tcPr>
          <w:p>
            <w:pPr>
              <w:widowControl/>
              <w:spacing w:line="240" w:lineRule="atLeast"/>
              <w:contextualSpacing/>
              <w:jc w:val="center"/>
              <w:rPr>
                <w:color w:val="auto"/>
                <w:kern w:val="0"/>
                <w:sz w:val="21"/>
                <w:szCs w:val="21"/>
              </w:rPr>
            </w:pP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62"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渣土防护率（%）</w:t>
            </w: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95</w:t>
            </w:r>
          </w:p>
        </w:tc>
        <w:tc>
          <w:tcPr>
            <w:tcW w:w="442"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97</w:t>
            </w: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735"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+1</w:t>
            </w:r>
          </w:p>
        </w:tc>
        <w:tc>
          <w:tcPr>
            <w:tcW w:w="662" w:type="pct"/>
            <w:shd w:val="clear" w:color="auto" w:fill="auto"/>
            <w:noWrap/>
            <w:vAlign w:val="center"/>
          </w:tcPr>
          <w:p>
            <w:pPr>
              <w:widowControl/>
              <w:spacing w:line="240" w:lineRule="atLeast"/>
              <w:contextualSpacing/>
              <w:jc w:val="center"/>
              <w:rPr>
                <w:color w:val="auto"/>
                <w:kern w:val="0"/>
                <w:sz w:val="21"/>
                <w:szCs w:val="21"/>
              </w:rPr>
            </w:pP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96</w:t>
            </w:r>
          </w:p>
        </w:tc>
        <w:tc>
          <w:tcPr>
            <w:tcW w:w="462"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表土保护率（%）</w:t>
            </w: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98</w:t>
            </w:r>
          </w:p>
        </w:tc>
        <w:tc>
          <w:tcPr>
            <w:tcW w:w="442"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98</w:t>
            </w: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662" w:type="pct"/>
            <w:shd w:val="clear" w:color="auto" w:fill="auto"/>
            <w:noWrap/>
            <w:vAlign w:val="center"/>
          </w:tcPr>
          <w:p>
            <w:pPr>
              <w:widowControl/>
              <w:spacing w:line="240" w:lineRule="atLeast"/>
              <w:contextualSpacing/>
              <w:jc w:val="center"/>
              <w:rPr>
                <w:color w:val="auto"/>
                <w:kern w:val="0"/>
                <w:sz w:val="21"/>
                <w:szCs w:val="21"/>
              </w:rPr>
            </w:pP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62"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林草植被恢复率（%）</w:t>
            </w: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42"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97</w:t>
            </w: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662" w:type="pct"/>
            <w:shd w:val="clear" w:color="auto" w:fill="auto"/>
            <w:noWrap/>
            <w:vAlign w:val="center"/>
          </w:tcPr>
          <w:p>
            <w:pPr>
              <w:widowControl/>
              <w:spacing w:line="240" w:lineRule="atLeast"/>
              <w:contextualSpacing/>
              <w:jc w:val="center"/>
              <w:rPr>
                <w:color w:val="auto"/>
                <w:kern w:val="0"/>
                <w:sz w:val="21"/>
                <w:szCs w:val="21"/>
              </w:rPr>
            </w:pPr>
          </w:p>
        </w:tc>
        <w:tc>
          <w:tcPr>
            <w:tcW w:w="441"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97</w:t>
            </w:r>
          </w:p>
        </w:tc>
        <w:tc>
          <w:tcPr>
            <w:tcW w:w="462"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83"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林草覆盖率（%）</w:t>
            </w:r>
          </w:p>
        </w:tc>
        <w:tc>
          <w:tcPr>
            <w:tcW w:w="441"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w:t>
            </w:r>
          </w:p>
        </w:tc>
        <w:tc>
          <w:tcPr>
            <w:tcW w:w="442" w:type="pct"/>
            <w:shd w:val="clear" w:color="auto" w:fill="auto"/>
            <w:vAlign w:val="center"/>
          </w:tcPr>
          <w:p>
            <w:pPr>
              <w:widowControl/>
              <w:spacing w:line="240" w:lineRule="atLeast"/>
              <w:contextualSpacing/>
              <w:jc w:val="center"/>
              <w:rPr>
                <w:color w:val="auto"/>
                <w:kern w:val="0"/>
                <w:sz w:val="21"/>
                <w:szCs w:val="21"/>
              </w:rPr>
            </w:pPr>
            <w:r>
              <w:rPr>
                <w:color w:val="auto"/>
                <w:kern w:val="0"/>
                <w:sz w:val="21"/>
                <w:szCs w:val="21"/>
              </w:rPr>
              <w:t>25</w:t>
            </w: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735" w:type="pct"/>
            <w:shd w:val="clear" w:color="auto" w:fill="auto"/>
            <w:noWrap/>
            <w:vAlign w:val="center"/>
          </w:tcPr>
          <w:p>
            <w:pPr>
              <w:widowControl/>
              <w:spacing w:line="240" w:lineRule="atLeast"/>
              <w:contextualSpacing/>
              <w:jc w:val="center"/>
              <w:rPr>
                <w:color w:val="auto"/>
                <w:kern w:val="0"/>
                <w:sz w:val="21"/>
                <w:szCs w:val="21"/>
              </w:rPr>
            </w:pPr>
          </w:p>
        </w:tc>
        <w:tc>
          <w:tcPr>
            <w:tcW w:w="662" w:type="pct"/>
            <w:shd w:val="clear" w:color="auto" w:fill="auto"/>
            <w:noWrap/>
            <w:vAlign w:val="center"/>
          </w:tcPr>
          <w:p>
            <w:pPr>
              <w:widowControl/>
              <w:spacing w:line="240" w:lineRule="atLeast"/>
              <w:contextualSpacing/>
              <w:jc w:val="center"/>
              <w:rPr>
                <w:color w:val="auto"/>
                <w:kern w:val="0"/>
                <w:sz w:val="21"/>
                <w:szCs w:val="21"/>
              </w:rPr>
            </w:pPr>
          </w:p>
        </w:tc>
        <w:tc>
          <w:tcPr>
            <w:tcW w:w="441"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25</w:t>
            </w:r>
          </w:p>
        </w:tc>
        <w:tc>
          <w:tcPr>
            <w:tcW w:w="462" w:type="pct"/>
            <w:shd w:val="clear" w:color="auto" w:fill="auto"/>
            <w:noWrap/>
            <w:vAlign w:val="center"/>
          </w:tcPr>
          <w:p>
            <w:pPr>
              <w:widowControl/>
              <w:spacing w:line="240" w:lineRule="atLeast"/>
              <w:contextualSpacing/>
              <w:jc w:val="center"/>
              <w:rPr>
                <w:color w:val="auto"/>
                <w:kern w:val="0"/>
                <w:sz w:val="21"/>
                <w:szCs w:val="21"/>
              </w:rPr>
            </w:pPr>
            <w:r>
              <w:rPr>
                <w:color w:val="auto"/>
                <w:kern w:val="0"/>
                <w:sz w:val="21"/>
                <w:szCs w:val="21"/>
              </w:rPr>
              <w:t>25</w:t>
            </w:r>
          </w:p>
        </w:tc>
      </w:tr>
    </w:tbl>
    <w:p>
      <w:pPr>
        <w:spacing w:line="360" w:lineRule="auto"/>
        <w:contextualSpacing/>
        <w:outlineLvl w:val="1"/>
        <w:rPr>
          <w:b/>
          <w:bCs/>
          <w:color w:val="auto"/>
          <w:sz w:val="30"/>
          <w:szCs w:val="30"/>
        </w:rPr>
      </w:pPr>
      <w:bookmarkStart w:id="32" w:name="_Toc521945561"/>
      <w:bookmarkStart w:id="33" w:name="_Toc486320399"/>
      <w:bookmarkStart w:id="34" w:name="_Toc522647692"/>
      <w:bookmarkStart w:id="35" w:name="_Toc145530041"/>
      <w:bookmarkStart w:id="36" w:name="_Toc522647693"/>
      <w:bookmarkStart w:id="37" w:name="_Toc521945562"/>
      <w:r>
        <w:rPr>
          <w:b/>
          <w:bCs/>
          <w:color w:val="auto"/>
          <w:sz w:val="30"/>
          <w:szCs w:val="30"/>
        </w:rPr>
        <w:t>1.6</w:t>
      </w:r>
      <w:bookmarkEnd w:id="32"/>
      <w:bookmarkEnd w:id="33"/>
      <w:bookmarkEnd w:id="34"/>
      <w:r>
        <w:rPr>
          <w:b/>
          <w:bCs/>
          <w:color w:val="auto"/>
          <w:sz w:val="30"/>
          <w:szCs w:val="30"/>
        </w:rPr>
        <w:t>项目水土保持评价结论</w:t>
      </w:r>
      <w:bookmarkEnd w:id="35"/>
    </w:p>
    <w:p>
      <w:pPr>
        <w:spacing w:line="360" w:lineRule="auto"/>
        <w:contextualSpacing/>
        <w:outlineLvl w:val="2"/>
        <w:rPr>
          <w:b/>
          <w:bCs/>
          <w:color w:val="auto"/>
          <w:sz w:val="28"/>
          <w:szCs w:val="28"/>
        </w:rPr>
      </w:pPr>
      <w:r>
        <w:rPr>
          <w:b/>
          <w:bCs/>
          <w:color w:val="auto"/>
          <w:sz w:val="28"/>
          <w:szCs w:val="28"/>
        </w:rPr>
        <w:t>1.6.1 主体工程选址评价</w:t>
      </w:r>
    </w:p>
    <w:p>
      <w:pPr>
        <w:spacing w:line="360" w:lineRule="auto"/>
        <w:ind w:firstLine="480" w:firstLineChars="200"/>
        <w:contextualSpacing/>
        <w:rPr>
          <w:color w:val="auto"/>
          <w:sz w:val="24"/>
        </w:rPr>
      </w:pPr>
      <w:r>
        <w:rPr>
          <w:color w:val="auto"/>
          <w:sz w:val="24"/>
        </w:rPr>
        <w:t>本工程不涉及河流两岸、湖泊和水库周边的植物保护带；不涉及全国水土保持监测网络中的水土保持监测站点、重点试验区及国家确定的水土保持长期定位观测点；不位于水土流失严重、生态脆弱地区。本项目选址无法避让</w:t>
      </w:r>
      <w:r>
        <w:rPr>
          <w:rFonts w:hint="eastAsia"/>
          <w:color w:val="auto"/>
          <w:sz w:val="24"/>
        </w:rPr>
        <w:t>国家级</w:t>
      </w:r>
      <w:r>
        <w:rPr>
          <w:color w:val="auto"/>
          <w:sz w:val="24"/>
        </w:rPr>
        <w:t>水土流失重点治理区，通过加强工程施工管理、优化施工工艺和时序，减少项目建设可能产生的水土流失。因此，从水土保持角度评价认为本项目选址合理，符合水土保持要求。</w:t>
      </w:r>
    </w:p>
    <w:p>
      <w:pPr>
        <w:spacing w:line="360" w:lineRule="auto"/>
        <w:contextualSpacing/>
        <w:outlineLvl w:val="2"/>
        <w:rPr>
          <w:b/>
          <w:bCs/>
          <w:color w:val="auto"/>
          <w:sz w:val="28"/>
          <w:szCs w:val="28"/>
        </w:rPr>
      </w:pPr>
      <w:r>
        <w:rPr>
          <w:b/>
          <w:bCs/>
          <w:color w:val="auto"/>
          <w:sz w:val="28"/>
          <w:szCs w:val="28"/>
        </w:rPr>
        <w:t>1.6.2建设方案与布局评价</w:t>
      </w:r>
    </w:p>
    <w:p>
      <w:pPr>
        <w:spacing w:line="360" w:lineRule="auto"/>
        <w:ind w:firstLine="480" w:firstLineChars="200"/>
        <w:contextualSpacing/>
        <w:rPr>
          <w:color w:val="auto"/>
          <w:sz w:val="24"/>
        </w:rPr>
      </w:pPr>
      <w:r>
        <w:rPr>
          <w:color w:val="auto"/>
          <w:sz w:val="24"/>
        </w:rPr>
        <w:t>(1)建设方案的评价结论</w:t>
      </w:r>
    </w:p>
    <w:p>
      <w:pPr>
        <w:spacing w:line="360" w:lineRule="auto"/>
        <w:ind w:firstLine="480" w:firstLineChars="200"/>
        <w:contextualSpacing/>
        <w:rPr>
          <w:color w:val="auto"/>
          <w:sz w:val="24"/>
        </w:rPr>
      </w:pPr>
      <w:r>
        <w:rPr>
          <w:color w:val="auto"/>
          <w:sz w:val="24"/>
        </w:rPr>
        <w:t>本工程属于新建建设类项目，主体工程所在区域地势平坦，项目总平面和竖向布置结合地形地貌及功能分区，周边无重要水土保持设施，方案工程实施简单，优化施工工艺，充分利用</w:t>
      </w:r>
      <w:r>
        <w:rPr>
          <w:rFonts w:hint="eastAsia"/>
          <w:color w:val="auto"/>
          <w:sz w:val="24"/>
        </w:rPr>
        <w:t>地形</w:t>
      </w:r>
      <w:r>
        <w:rPr>
          <w:color w:val="auto"/>
          <w:sz w:val="24"/>
        </w:rPr>
        <w:t>，开挖土石方较少，同时，项目位于</w:t>
      </w:r>
      <w:r>
        <w:rPr>
          <w:rFonts w:hint="eastAsia"/>
          <w:color w:val="auto"/>
          <w:sz w:val="24"/>
        </w:rPr>
        <w:t>工业园</w:t>
      </w:r>
      <w:r>
        <w:rPr>
          <w:color w:val="auto"/>
          <w:sz w:val="24"/>
        </w:rPr>
        <w:t>区，相应的提高了渣土防护率的防治标准，并配套建设了雨水排水设施，满足相关要求。</w:t>
      </w:r>
    </w:p>
    <w:p>
      <w:pPr>
        <w:spacing w:line="360" w:lineRule="auto"/>
        <w:ind w:firstLine="480" w:firstLineChars="200"/>
        <w:contextualSpacing/>
        <w:rPr>
          <w:color w:val="auto"/>
          <w:sz w:val="24"/>
        </w:rPr>
      </w:pPr>
      <w:r>
        <w:rPr>
          <w:color w:val="auto"/>
          <w:sz w:val="24"/>
        </w:rPr>
        <w:t>(2)工程占地评价结论</w:t>
      </w:r>
    </w:p>
    <w:p>
      <w:pPr>
        <w:spacing w:line="360" w:lineRule="auto"/>
        <w:ind w:firstLine="480" w:firstLineChars="200"/>
        <w:contextualSpacing/>
        <w:rPr>
          <w:color w:val="auto"/>
          <w:sz w:val="24"/>
        </w:rPr>
      </w:pPr>
      <w:r>
        <w:rPr>
          <w:color w:val="auto"/>
          <w:sz w:val="24"/>
        </w:rPr>
        <w:t>工程总占地面积4.19hm</w:t>
      </w:r>
      <w:r>
        <w:rPr>
          <w:color w:val="auto"/>
          <w:sz w:val="24"/>
          <w:vertAlign w:val="superscript"/>
        </w:rPr>
        <w:t>2</w:t>
      </w:r>
      <w:r>
        <w:rPr>
          <w:color w:val="auto"/>
          <w:sz w:val="24"/>
        </w:rPr>
        <w:t>，与</w:t>
      </w:r>
      <w:r>
        <w:rPr>
          <w:rFonts w:hint="eastAsia"/>
          <w:color w:val="auto"/>
          <w:sz w:val="24"/>
        </w:rPr>
        <w:t>建设用地规划许可证</w:t>
      </w:r>
      <w:r>
        <w:rPr>
          <w:color w:val="auto"/>
          <w:sz w:val="24"/>
        </w:rPr>
        <w:t>一致。从工程占地面积分析，项目用地符合《生产建设项目水土保持技术标准》（GB50433-2018）的规定。本项目周边交通网络发达，施工尽量利用现有道路，施工占地考虑比较周全。从水土保持方面分析，主体工程征占地面积合理。</w:t>
      </w:r>
    </w:p>
    <w:p>
      <w:pPr>
        <w:spacing w:line="360" w:lineRule="auto"/>
        <w:ind w:firstLine="480" w:firstLineChars="200"/>
        <w:contextualSpacing/>
        <w:rPr>
          <w:color w:val="auto"/>
          <w:sz w:val="24"/>
        </w:rPr>
      </w:pPr>
      <w:r>
        <w:rPr>
          <w:color w:val="auto"/>
          <w:sz w:val="24"/>
        </w:rPr>
        <w:t>(3)土石方平衡评价结论</w:t>
      </w:r>
    </w:p>
    <w:p>
      <w:pPr>
        <w:spacing w:line="360" w:lineRule="auto"/>
        <w:ind w:firstLine="480" w:firstLineChars="200"/>
        <w:contextualSpacing/>
        <w:rPr>
          <w:color w:val="auto"/>
          <w:sz w:val="24"/>
        </w:rPr>
      </w:pPr>
      <w:r>
        <w:rPr>
          <w:color w:val="auto"/>
          <w:sz w:val="24"/>
        </w:rPr>
        <w:t>从土石方总体平衡来看，主体工程通过合理布局，在环境与技术条件可能的</w:t>
      </w:r>
    </w:p>
    <w:p>
      <w:pPr>
        <w:spacing w:line="360" w:lineRule="auto"/>
        <w:contextualSpacing/>
        <w:rPr>
          <w:color w:val="auto"/>
          <w:sz w:val="24"/>
        </w:rPr>
      </w:pPr>
      <w:r>
        <w:rPr>
          <w:color w:val="auto"/>
          <w:sz w:val="24"/>
        </w:rPr>
        <w:t>情况下，尽量减小施工作业面，减少了因工程建设扰动破坏土地资源和自然植被，相应的降低了造成大量水土流失的可能性。主体工程已充分考虑了各施工场地的土石挖填量，</w:t>
      </w:r>
      <w:r>
        <w:rPr>
          <w:rFonts w:hint="eastAsia"/>
          <w:color w:val="auto"/>
          <w:sz w:val="24"/>
        </w:rPr>
        <w:t>土方</w:t>
      </w:r>
      <w:r>
        <w:rPr>
          <w:color w:val="auto"/>
          <w:sz w:val="24"/>
        </w:rPr>
        <w:t>量</w:t>
      </w:r>
      <w:r>
        <w:rPr>
          <w:rFonts w:hint="eastAsia"/>
          <w:color w:val="auto"/>
          <w:sz w:val="24"/>
        </w:rPr>
        <w:t>挖填</w:t>
      </w:r>
      <w:r>
        <w:rPr>
          <w:color w:val="auto"/>
          <w:sz w:val="24"/>
        </w:rPr>
        <w:t>平衡。从水土保持角度分析，主体设计的土石方调配是合理的。</w:t>
      </w:r>
    </w:p>
    <w:p>
      <w:pPr>
        <w:spacing w:line="360" w:lineRule="auto"/>
        <w:ind w:firstLine="480" w:firstLineChars="200"/>
        <w:contextualSpacing/>
        <w:rPr>
          <w:color w:val="auto"/>
          <w:sz w:val="24"/>
        </w:rPr>
      </w:pPr>
      <w:r>
        <w:rPr>
          <w:color w:val="auto"/>
          <w:sz w:val="24"/>
        </w:rPr>
        <w:t>(4)施工方法与工艺评价结论</w:t>
      </w:r>
    </w:p>
    <w:p>
      <w:pPr>
        <w:spacing w:line="360" w:lineRule="auto"/>
        <w:ind w:firstLine="480" w:firstLineChars="200"/>
        <w:contextualSpacing/>
        <w:rPr>
          <w:color w:val="auto"/>
          <w:sz w:val="24"/>
        </w:rPr>
      </w:pPr>
      <w:r>
        <w:rPr>
          <w:color w:val="auto"/>
          <w:sz w:val="24"/>
        </w:rPr>
        <w:t>本工程对水土流失影响主要集中在施工期工程开挖环节。施工时应根据各项目分区具体的工程措施合理安排各施工工序，减少或避免各工序间的相互干扰。工程施工采用机械和人工配合进行，机械以铲运机、推土机为主，人工则配合机械作零星场地或边角地区的平整。尽量减少开挖土方的堆放时间及防护费用。雨季施工时，为了保证能在雨季正常施工，主体工程采取了“挡水、排水、防水”等工程措施和雨季组织管理措施，有利于降低降雨对裸露土壤冲刷、减少水土流失，符合水土保持要求。</w:t>
      </w:r>
    </w:p>
    <w:p>
      <w:pPr>
        <w:spacing w:line="360" w:lineRule="auto"/>
        <w:ind w:firstLine="480" w:firstLineChars="200"/>
        <w:contextualSpacing/>
        <w:rPr>
          <w:color w:val="auto"/>
          <w:sz w:val="24"/>
        </w:rPr>
      </w:pPr>
      <w:r>
        <w:rPr>
          <w:color w:val="auto"/>
          <w:sz w:val="24"/>
        </w:rPr>
        <w:t>(5)具有水土保持功能工程的评价结论</w:t>
      </w:r>
    </w:p>
    <w:p>
      <w:pPr>
        <w:spacing w:line="360" w:lineRule="auto"/>
        <w:ind w:firstLine="480" w:firstLineChars="200"/>
        <w:contextualSpacing/>
        <w:rPr>
          <w:color w:val="auto"/>
          <w:sz w:val="24"/>
        </w:rPr>
      </w:pPr>
      <w:r>
        <w:rPr>
          <w:bCs/>
          <w:color w:val="auto"/>
          <w:sz w:val="24"/>
        </w:rPr>
        <w:t>主体工程在建设区内设计了</w:t>
      </w:r>
      <w:r>
        <w:rPr>
          <w:rFonts w:hint="eastAsia"/>
          <w:bCs/>
          <w:color w:val="auto"/>
          <w:sz w:val="24"/>
        </w:rPr>
        <w:t>全面整地、雨水管网、临时苫盖</w:t>
      </w:r>
      <w:r>
        <w:rPr>
          <w:bCs/>
          <w:color w:val="auto"/>
          <w:sz w:val="24"/>
        </w:rPr>
        <w:t>具有水土保持功能的措施，界定为水土保持措施，将纳入水土保持防治措施体系。</w:t>
      </w:r>
    </w:p>
    <w:p>
      <w:pPr>
        <w:spacing w:line="360" w:lineRule="auto"/>
        <w:ind w:firstLine="480" w:firstLineChars="200"/>
        <w:contextualSpacing/>
        <w:rPr>
          <w:color w:val="auto"/>
          <w:sz w:val="24"/>
        </w:rPr>
      </w:pPr>
      <w:r>
        <w:rPr>
          <w:bCs/>
          <w:color w:val="auto"/>
          <w:sz w:val="24"/>
        </w:rPr>
        <w:t>综上，本工程的建设方案和布局合理可行，符合水土保持要求。</w:t>
      </w:r>
    </w:p>
    <w:bookmarkEnd w:id="36"/>
    <w:bookmarkEnd w:id="37"/>
    <w:p>
      <w:pPr>
        <w:spacing w:line="360" w:lineRule="auto"/>
        <w:contextualSpacing/>
        <w:outlineLvl w:val="1"/>
        <w:rPr>
          <w:b/>
          <w:bCs/>
          <w:color w:val="auto"/>
          <w:sz w:val="30"/>
          <w:szCs w:val="30"/>
        </w:rPr>
      </w:pPr>
      <w:bookmarkStart w:id="38" w:name="_Toc145530042"/>
      <w:bookmarkStart w:id="39" w:name="_Toc522647694"/>
      <w:bookmarkStart w:id="40" w:name="_Toc521945563"/>
      <w:r>
        <w:rPr>
          <w:b/>
          <w:bCs/>
          <w:color w:val="auto"/>
          <w:sz w:val="30"/>
          <w:szCs w:val="30"/>
        </w:rPr>
        <w:t>1.7 水土流失预测结果</w:t>
      </w:r>
      <w:bookmarkEnd w:id="38"/>
      <w:bookmarkEnd w:id="39"/>
      <w:bookmarkEnd w:id="40"/>
    </w:p>
    <w:p>
      <w:pPr>
        <w:spacing w:line="360" w:lineRule="auto"/>
        <w:ind w:firstLine="480" w:firstLineChars="200"/>
        <w:contextualSpacing/>
        <w:rPr>
          <w:rFonts w:hint="eastAsia"/>
          <w:b/>
          <w:color w:val="auto"/>
          <w:sz w:val="24"/>
        </w:rPr>
      </w:pPr>
      <w:r>
        <w:rPr>
          <w:color w:val="auto"/>
          <w:sz w:val="24"/>
        </w:rPr>
        <w:t>通过水土流失量预测，项目在施工期可能造成的土壤流失总量为275t，背景流失量为67t，新增土壤流失量为208t。</w:t>
      </w:r>
      <w:r>
        <w:rPr>
          <w:rFonts w:hint="eastAsia"/>
          <w:color w:val="auto"/>
          <w:sz w:val="24"/>
        </w:rPr>
        <w:t>水土流失主要时期在施工期，水土流失主要区域为绿化区和工业园区管网区。</w:t>
      </w:r>
    </w:p>
    <w:p>
      <w:pPr>
        <w:pStyle w:val="32"/>
        <w:contextualSpacing/>
        <w:rPr>
          <w:color w:val="auto"/>
        </w:rPr>
      </w:pPr>
      <w:r>
        <w:rPr>
          <w:rFonts w:hint="eastAsia"/>
          <w:color w:val="auto"/>
          <w:spacing w:val="-10"/>
          <w:sz w:val="24"/>
        </w:rPr>
        <w:t>本项目主体工程（厂房建设、管网铺设）已基本完工，根据走访调查，未发生水土流失危害事件。</w:t>
      </w:r>
    </w:p>
    <w:p>
      <w:pPr>
        <w:spacing w:line="360" w:lineRule="auto"/>
        <w:contextualSpacing/>
        <w:outlineLvl w:val="1"/>
        <w:rPr>
          <w:b/>
          <w:bCs/>
          <w:color w:val="auto"/>
          <w:sz w:val="30"/>
          <w:szCs w:val="30"/>
        </w:rPr>
      </w:pPr>
      <w:bookmarkStart w:id="41" w:name="_Toc521945564"/>
      <w:bookmarkStart w:id="42" w:name="_Toc522647695"/>
      <w:bookmarkStart w:id="43" w:name="_Toc145530043"/>
      <w:r>
        <w:rPr>
          <w:b/>
          <w:bCs/>
          <w:color w:val="auto"/>
          <w:sz w:val="30"/>
          <w:szCs w:val="30"/>
        </w:rPr>
        <w:t xml:space="preserve">1.8 </w:t>
      </w:r>
      <w:bookmarkEnd w:id="41"/>
      <w:bookmarkEnd w:id="42"/>
      <w:r>
        <w:rPr>
          <w:b/>
          <w:bCs/>
          <w:color w:val="auto"/>
          <w:sz w:val="30"/>
          <w:szCs w:val="30"/>
        </w:rPr>
        <w:t>水土保持措施布设成果</w:t>
      </w:r>
      <w:bookmarkEnd w:id="43"/>
    </w:p>
    <w:p>
      <w:pPr>
        <w:spacing w:line="360" w:lineRule="auto"/>
        <w:contextualSpacing/>
        <w:outlineLvl w:val="2"/>
        <w:rPr>
          <w:color w:val="auto"/>
          <w:sz w:val="28"/>
          <w:szCs w:val="28"/>
        </w:rPr>
      </w:pPr>
      <w:r>
        <w:rPr>
          <w:b/>
          <w:bCs/>
          <w:color w:val="auto"/>
          <w:sz w:val="28"/>
          <w:szCs w:val="28"/>
        </w:rPr>
        <w:t>1.8.1各防治分区措施布设情况</w:t>
      </w:r>
    </w:p>
    <w:p>
      <w:pPr>
        <w:pStyle w:val="11"/>
        <w:adjustRightInd w:val="0"/>
        <w:snapToGrid w:val="0"/>
        <w:spacing w:after="0" w:line="300" w:lineRule="auto"/>
        <w:contextualSpacing/>
        <w:jc w:val="center"/>
        <w:rPr>
          <w:b/>
          <w:color w:val="auto"/>
          <w:sz w:val="21"/>
          <w:szCs w:val="21"/>
        </w:rPr>
      </w:pPr>
      <w:r>
        <w:rPr>
          <w:b/>
          <w:color w:val="auto"/>
          <w:sz w:val="21"/>
          <w:szCs w:val="21"/>
        </w:rPr>
        <w:t>表1.8-1   水土保持措施总体布局表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673"/>
        <w:gridCol w:w="1561"/>
        <w:gridCol w:w="741"/>
        <w:gridCol w:w="868"/>
        <w:gridCol w:w="1735"/>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09" w:type="pct"/>
            <w:shd w:val="clear" w:color="auto" w:fill="auto"/>
            <w:vAlign w:val="center"/>
          </w:tcPr>
          <w:p>
            <w:pPr>
              <w:adjustRightInd w:val="0"/>
              <w:snapToGrid w:val="0"/>
              <w:contextualSpacing/>
              <w:jc w:val="center"/>
              <w:rPr>
                <w:color w:val="auto"/>
                <w:sz w:val="21"/>
                <w:szCs w:val="21"/>
              </w:rPr>
            </w:pPr>
            <w:r>
              <w:rPr>
                <w:color w:val="auto"/>
                <w:sz w:val="21"/>
                <w:szCs w:val="21"/>
              </w:rPr>
              <w:t>分区</w:t>
            </w:r>
          </w:p>
        </w:tc>
        <w:tc>
          <w:tcPr>
            <w:tcW w:w="1311" w:type="pct"/>
            <w:gridSpan w:val="2"/>
            <w:shd w:val="clear" w:color="auto" w:fill="auto"/>
            <w:vAlign w:val="center"/>
          </w:tcPr>
          <w:p>
            <w:pPr>
              <w:adjustRightInd w:val="0"/>
              <w:snapToGrid w:val="0"/>
              <w:contextualSpacing/>
              <w:jc w:val="center"/>
              <w:rPr>
                <w:color w:val="auto"/>
                <w:sz w:val="21"/>
                <w:szCs w:val="21"/>
              </w:rPr>
            </w:pPr>
            <w:r>
              <w:rPr>
                <w:color w:val="auto"/>
                <w:sz w:val="21"/>
                <w:szCs w:val="21"/>
              </w:rPr>
              <w:t>水土保持防治措施</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单位</w:t>
            </w:r>
          </w:p>
        </w:tc>
        <w:tc>
          <w:tcPr>
            <w:tcW w:w="509" w:type="pct"/>
            <w:shd w:val="clear" w:color="auto" w:fill="auto"/>
            <w:vAlign w:val="center"/>
          </w:tcPr>
          <w:p>
            <w:pPr>
              <w:adjustRightInd w:val="0"/>
              <w:snapToGrid w:val="0"/>
              <w:contextualSpacing/>
              <w:jc w:val="center"/>
              <w:rPr>
                <w:color w:val="auto"/>
                <w:sz w:val="21"/>
                <w:szCs w:val="21"/>
              </w:rPr>
            </w:pPr>
            <w:r>
              <w:rPr>
                <w:color w:val="auto"/>
                <w:sz w:val="21"/>
                <w:szCs w:val="21"/>
              </w:rPr>
              <w:t>工程量</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实施时段</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建构筑物区</w:t>
            </w: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临时苫盖及拆除</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color w:val="auto"/>
                <w:sz w:val="21"/>
                <w:szCs w:val="21"/>
              </w:rPr>
              <w:t>5200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022.7~2022.11</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restart"/>
            <w:vAlign w:val="center"/>
          </w:tcPr>
          <w:p>
            <w:pPr>
              <w:adjustRightInd w:val="0"/>
              <w:snapToGrid w:val="0"/>
              <w:contextualSpacing/>
              <w:jc w:val="center"/>
              <w:rPr>
                <w:color w:val="auto"/>
                <w:sz w:val="21"/>
                <w:szCs w:val="21"/>
              </w:rPr>
            </w:pPr>
            <w:r>
              <w:rPr>
                <w:rFonts w:hint="eastAsia"/>
                <w:color w:val="auto"/>
                <w:sz w:val="21"/>
                <w:szCs w:val="21"/>
              </w:rPr>
              <w:t>道路地面硬化区</w:t>
            </w:r>
          </w:p>
        </w:tc>
        <w:tc>
          <w:tcPr>
            <w:tcW w:w="395" w:type="pct"/>
            <w:vMerge w:val="restart"/>
            <w:shd w:val="clear" w:color="auto" w:fill="auto"/>
            <w:vAlign w:val="center"/>
          </w:tcPr>
          <w:p>
            <w:pPr>
              <w:adjustRightInd w:val="0"/>
              <w:snapToGrid w:val="0"/>
              <w:contextualSpacing/>
              <w:jc w:val="center"/>
              <w:rPr>
                <w:color w:val="auto"/>
                <w:sz w:val="21"/>
                <w:szCs w:val="21"/>
              </w:rPr>
            </w:pPr>
            <w:r>
              <w:rPr>
                <w:rFonts w:hint="eastAsia"/>
                <w:color w:val="auto"/>
                <w:sz w:val="21"/>
                <w:szCs w:val="21"/>
              </w:rPr>
              <w:t>雨水管网</w:t>
            </w:r>
          </w:p>
        </w:tc>
        <w:tc>
          <w:tcPr>
            <w:tcW w:w="916"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D</w:t>
            </w:r>
            <w:r>
              <w:rPr>
                <w:color w:val="auto"/>
                <w:sz w:val="21"/>
                <w:szCs w:val="21"/>
              </w:rPr>
              <w:t>1000</w:t>
            </w:r>
            <w:r>
              <w:rPr>
                <w:rFonts w:hint="eastAsia"/>
                <w:color w:val="auto"/>
                <w:sz w:val="21"/>
                <w:szCs w:val="21"/>
              </w:rPr>
              <w:t>混凝土管</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m</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00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023.5~2023.7</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continue"/>
            <w:vAlign w:val="center"/>
          </w:tcPr>
          <w:p>
            <w:pPr>
              <w:adjustRightInd w:val="0"/>
              <w:snapToGrid w:val="0"/>
              <w:contextualSpacing/>
              <w:jc w:val="center"/>
              <w:rPr>
                <w:color w:val="auto"/>
                <w:sz w:val="21"/>
                <w:szCs w:val="21"/>
              </w:rPr>
            </w:pPr>
          </w:p>
        </w:tc>
        <w:tc>
          <w:tcPr>
            <w:tcW w:w="395" w:type="pct"/>
            <w:vMerge w:val="continue"/>
            <w:shd w:val="clear" w:color="auto" w:fill="auto"/>
            <w:vAlign w:val="center"/>
          </w:tcPr>
          <w:p>
            <w:pPr>
              <w:adjustRightInd w:val="0"/>
              <w:snapToGrid w:val="0"/>
              <w:contextualSpacing/>
              <w:jc w:val="center"/>
              <w:rPr>
                <w:color w:val="auto"/>
                <w:sz w:val="21"/>
                <w:szCs w:val="21"/>
              </w:rPr>
            </w:pPr>
          </w:p>
        </w:tc>
        <w:tc>
          <w:tcPr>
            <w:tcW w:w="916"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D</w:t>
            </w:r>
            <w:r>
              <w:rPr>
                <w:color w:val="auto"/>
                <w:sz w:val="21"/>
                <w:szCs w:val="21"/>
              </w:rPr>
              <w:t>1200</w:t>
            </w:r>
            <w:r>
              <w:rPr>
                <w:rFonts w:hint="eastAsia"/>
                <w:color w:val="auto"/>
                <w:sz w:val="21"/>
                <w:szCs w:val="21"/>
              </w:rPr>
              <w:t>混凝土管</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m</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49</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023.5~2023.7</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continue"/>
            <w:vAlign w:val="center"/>
          </w:tcPr>
          <w:p>
            <w:pPr>
              <w:adjustRightInd w:val="0"/>
              <w:snapToGrid w:val="0"/>
              <w:contextualSpacing/>
              <w:jc w:val="center"/>
              <w:rPr>
                <w:color w:val="auto"/>
                <w:sz w:val="21"/>
                <w:szCs w:val="21"/>
              </w:rPr>
            </w:pPr>
          </w:p>
        </w:tc>
        <w:tc>
          <w:tcPr>
            <w:tcW w:w="395" w:type="pct"/>
            <w:vMerge w:val="continue"/>
            <w:shd w:val="clear" w:color="auto" w:fill="auto"/>
            <w:vAlign w:val="center"/>
          </w:tcPr>
          <w:p>
            <w:pPr>
              <w:adjustRightInd w:val="0"/>
              <w:snapToGrid w:val="0"/>
              <w:contextualSpacing/>
              <w:jc w:val="center"/>
              <w:rPr>
                <w:color w:val="auto"/>
                <w:sz w:val="21"/>
                <w:szCs w:val="21"/>
              </w:rPr>
            </w:pPr>
          </w:p>
        </w:tc>
        <w:tc>
          <w:tcPr>
            <w:tcW w:w="916"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雨水井</w:t>
            </w:r>
          </w:p>
        </w:tc>
        <w:tc>
          <w:tcPr>
            <w:tcW w:w="435"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座</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8</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023.5~2023.7</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continue"/>
            <w:vAlign w:val="center"/>
          </w:tcPr>
          <w:p>
            <w:pPr>
              <w:adjustRightInd w:val="0"/>
              <w:snapToGrid w:val="0"/>
              <w:contextualSpacing/>
              <w:jc w:val="center"/>
              <w:rPr>
                <w:color w:val="auto"/>
                <w:sz w:val="21"/>
                <w:szCs w:val="21"/>
              </w:rPr>
            </w:pP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排水明沟</w:t>
            </w:r>
          </w:p>
        </w:tc>
        <w:tc>
          <w:tcPr>
            <w:tcW w:w="435"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m</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60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023.10</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restart"/>
            <w:vAlign w:val="center"/>
          </w:tcPr>
          <w:p>
            <w:pPr>
              <w:adjustRightInd w:val="0"/>
              <w:snapToGrid w:val="0"/>
              <w:contextualSpacing/>
              <w:jc w:val="center"/>
              <w:rPr>
                <w:color w:val="auto"/>
                <w:sz w:val="21"/>
                <w:szCs w:val="21"/>
              </w:rPr>
            </w:pPr>
            <w:r>
              <w:rPr>
                <w:rFonts w:hint="eastAsia"/>
                <w:color w:val="auto"/>
                <w:sz w:val="21"/>
                <w:szCs w:val="21"/>
              </w:rPr>
              <w:t>绿化区</w:t>
            </w: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023.9</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continue"/>
            <w:vAlign w:val="center"/>
          </w:tcPr>
          <w:p>
            <w:pPr>
              <w:adjustRightInd w:val="0"/>
              <w:snapToGrid w:val="0"/>
              <w:contextualSpacing/>
              <w:jc w:val="center"/>
              <w:rPr>
                <w:color w:val="auto"/>
                <w:sz w:val="21"/>
                <w:szCs w:val="21"/>
              </w:rPr>
            </w:pP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铺设草坪</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.60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023.10</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restart"/>
            <w:vAlign w:val="center"/>
          </w:tcPr>
          <w:p>
            <w:pPr>
              <w:adjustRightInd w:val="0"/>
              <w:snapToGrid w:val="0"/>
              <w:contextualSpacing/>
              <w:jc w:val="center"/>
              <w:rPr>
                <w:color w:val="auto"/>
                <w:sz w:val="21"/>
                <w:szCs w:val="21"/>
              </w:rPr>
            </w:pPr>
            <w:r>
              <w:rPr>
                <w:color w:val="auto"/>
                <w:sz w:val="21"/>
                <w:szCs w:val="21"/>
              </w:rPr>
              <w:t>工业园区管网区</w:t>
            </w: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023.8~</w:t>
            </w:r>
            <w:r>
              <w:rPr>
                <w:rFonts w:hint="eastAsia"/>
                <w:color w:val="auto"/>
                <w:sz w:val="21"/>
                <w:szCs w:val="21"/>
              </w:rPr>
              <w:t>2</w:t>
            </w:r>
            <w:r>
              <w:rPr>
                <w:color w:val="auto"/>
                <w:sz w:val="21"/>
                <w:szCs w:val="21"/>
              </w:rPr>
              <w:t>023.9</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continue"/>
            <w:vAlign w:val="center"/>
          </w:tcPr>
          <w:p>
            <w:pPr>
              <w:adjustRightInd w:val="0"/>
              <w:snapToGrid w:val="0"/>
              <w:contextualSpacing/>
              <w:jc w:val="center"/>
              <w:rPr>
                <w:color w:val="auto"/>
                <w:sz w:val="21"/>
                <w:szCs w:val="21"/>
              </w:rPr>
            </w:pP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撒播草籽</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023.10</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Merge w:val="continue"/>
            <w:vAlign w:val="center"/>
          </w:tcPr>
          <w:p>
            <w:pPr>
              <w:adjustRightInd w:val="0"/>
              <w:snapToGrid w:val="0"/>
              <w:contextualSpacing/>
              <w:jc w:val="center"/>
              <w:rPr>
                <w:color w:val="auto"/>
                <w:sz w:val="21"/>
                <w:szCs w:val="21"/>
              </w:rPr>
            </w:pP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临时苫盖及拆除</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color w:val="auto"/>
                <w:sz w:val="21"/>
                <w:szCs w:val="21"/>
              </w:rPr>
              <w:t>38600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022.9~2023.10</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pct"/>
            <w:vAlign w:val="center"/>
          </w:tcPr>
          <w:p>
            <w:pPr>
              <w:adjustRightInd w:val="0"/>
              <w:snapToGrid w:val="0"/>
              <w:contextualSpacing/>
              <w:jc w:val="center"/>
              <w:rPr>
                <w:color w:val="auto"/>
                <w:sz w:val="21"/>
                <w:szCs w:val="21"/>
              </w:rPr>
            </w:pPr>
            <w:r>
              <w:rPr>
                <w:color w:val="auto"/>
                <w:sz w:val="21"/>
                <w:szCs w:val="21"/>
              </w:rPr>
              <w:t>施工生产区</w:t>
            </w:r>
          </w:p>
        </w:tc>
        <w:tc>
          <w:tcPr>
            <w:tcW w:w="1311"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35"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0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0</w:t>
            </w:r>
            <w:r>
              <w:rPr>
                <w:color w:val="auto"/>
                <w:sz w:val="21"/>
                <w:szCs w:val="21"/>
              </w:rPr>
              <w:t>.10</w:t>
            </w:r>
          </w:p>
        </w:tc>
        <w:tc>
          <w:tcPr>
            <w:tcW w:w="1018"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023.7</w:t>
            </w:r>
          </w:p>
        </w:tc>
        <w:tc>
          <w:tcPr>
            <w:tcW w:w="1018" w:type="pct"/>
            <w:vAlign w:val="center"/>
          </w:tcPr>
          <w:p>
            <w:pPr>
              <w:adjustRightInd w:val="0"/>
              <w:snapToGrid w:val="0"/>
              <w:contextualSpacing/>
              <w:jc w:val="center"/>
              <w:rPr>
                <w:rFonts w:hint="eastAsia"/>
                <w:color w:val="auto"/>
                <w:sz w:val="21"/>
                <w:szCs w:val="21"/>
              </w:rPr>
            </w:pPr>
            <w:r>
              <w:rPr>
                <w:rFonts w:hint="eastAsia"/>
                <w:color w:val="auto"/>
                <w:sz w:val="21"/>
                <w:szCs w:val="21"/>
              </w:rPr>
              <w:t>已实施</w:t>
            </w:r>
          </w:p>
        </w:tc>
      </w:tr>
    </w:tbl>
    <w:p>
      <w:pPr>
        <w:pStyle w:val="11"/>
        <w:adjustRightInd w:val="0"/>
        <w:snapToGrid w:val="0"/>
        <w:spacing w:after="0" w:line="300" w:lineRule="auto"/>
        <w:contextualSpacing/>
        <w:jc w:val="center"/>
        <w:rPr>
          <w:b/>
          <w:color w:val="auto"/>
          <w:sz w:val="21"/>
          <w:szCs w:val="21"/>
        </w:rPr>
      </w:pPr>
    </w:p>
    <w:p>
      <w:pPr>
        <w:spacing w:line="360" w:lineRule="auto"/>
        <w:contextualSpacing/>
        <w:outlineLvl w:val="1"/>
        <w:rPr>
          <w:b/>
          <w:bCs/>
          <w:color w:val="auto"/>
          <w:sz w:val="30"/>
          <w:szCs w:val="30"/>
        </w:rPr>
      </w:pPr>
      <w:bookmarkStart w:id="44" w:name="_Toc521945570"/>
      <w:bookmarkStart w:id="45" w:name="_Toc522647697"/>
      <w:bookmarkStart w:id="46" w:name="_Toc486320404"/>
      <w:bookmarkStart w:id="47" w:name="_Toc145530044"/>
      <w:r>
        <w:rPr>
          <w:b/>
          <w:bCs/>
          <w:color w:val="auto"/>
          <w:sz w:val="30"/>
          <w:szCs w:val="30"/>
        </w:rPr>
        <w:t>1.</w:t>
      </w:r>
      <w:bookmarkEnd w:id="44"/>
      <w:bookmarkEnd w:id="45"/>
      <w:bookmarkEnd w:id="46"/>
      <w:r>
        <w:rPr>
          <w:b/>
          <w:bCs/>
          <w:color w:val="auto"/>
          <w:sz w:val="30"/>
          <w:szCs w:val="30"/>
        </w:rPr>
        <w:t>9水土保持投资及效益分析成果</w:t>
      </w:r>
      <w:bookmarkEnd w:id="47"/>
    </w:p>
    <w:p>
      <w:pPr>
        <w:spacing w:line="360" w:lineRule="auto"/>
        <w:ind w:firstLine="480" w:firstLineChars="200"/>
        <w:contextualSpacing/>
        <w:rPr>
          <w:bCs/>
          <w:color w:val="auto"/>
          <w:sz w:val="24"/>
        </w:rPr>
      </w:pPr>
      <w:bookmarkStart w:id="48" w:name="_Hlk78971099"/>
      <w:r>
        <w:rPr>
          <w:color w:val="auto"/>
          <w:kern w:val="0"/>
          <w:sz w:val="24"/>
          <w:szCs w:val="22"/>
        </w:rPr>
        <w:t>本项目水土保持总投资106.52万元，其中工程措施投资61.59万元，</w:t>
      </w:r>
      <w:r>
        <w:rPr>
          <w:rFonts w:hint="eastAsia"/>
          <w:color w:val="auto"/>
          <w:kern w:val="0"/>
          <w:sz w:val="24"/>
          <w:szCs w:val="22"/>
        </w:rPr>
        <w:t>植物措施投资1</w:t>
      </w:r>
      <w:r>
        <w:rPr>
          <w:color w:val="auto"/>
          <w:kern w:val="0"/>
          <w:sz w:val="24"/>
          <w:szCs w:val="22"/>
        </w:rPr>
        <w:t>1.01</w:t>
      </w:r>
      <w:r>
        <w:rPr>
          <w:rFonts w:hint="eastAsia"/>
          <w:color w:val="auto"/>
          <w:kern w:val="0"/>
          <w:sz w:val="24"/>
          <w:szCs w:val="22"/>
        </w:rPr>
        <w:t>万元，</w:t>
      </w:r>
      <w:r>
        <w:rPr>
          <w:bCs/>
          <w:color w:val="auto"/>
          <w:sz w:val="24"/>
        </w:rPr>
        <w:t>临时措施投资20.41万元，独立费用8.00万元（科研勘测设计费5.00万元，水土保持设施验收费3.00万元），基本预备费0.48万元，水土保持补偿费</w:t>
      </w:r>
      <w:r>
        <w:rPr>
          <w:color w:val="auto"/>
          <w:sz w:val="24"/>
        </w:rPr>
        <w:t>50320.80元</w:t>
      </w:r>
      <w:r>
        <w:rPr>
          <w:bCs/>
          <w:color w:val="auto"/>
          <w:sz w:val="24"/>
        </w:rPr>
        <w:t>。水土保持总投资中主体已列</w:t>
      </w:r>
      <w:r>
        <w:rPr>
          <w:rFonts w:hint="eastAsia"/>
          <w:bCs/>
          <w:color w:val="auto"/>
          <w:sz w:val="24"/>
        </w:rPr>
        <w:t>投</w:t>
      </w:r>
      <w:r>
        <w:rPr>
          <w:bCs/>
          <w:color w:val="auto"/>
          <w:sz w:val="24"/>
        </w:rPr>
        <w:t>资93.02万元，方案新增投资13.50万元。</w:t>
      </w:r>
    </w:p>
    <w:p>
      <w:pPr>
        <w:spacing w:before="156" w:beforeLines="50" w:line="360" w:lineRule="auto"/>
        <w:ind w:firstLine="480" w:firstLineChars="200"/>
        <w:contextualSpacing/>
        <w:rPr>
          <w:color w:val="auto"/>
          <w:sz w:val="24"/>
        </w:rPr>
      </w:pPr>
      <w:bookmarkStart w:id="49" w:name="_Toc522647698"/>
      <w:bookmarkStart w:id="50" w:name="_Toc521945571"/>
      <w:r>
        <w:rPr>
          <w:color w:val="auto"/>
          <w:sz w:val="24"/>
        </w:rPr>
        <w:t>通过水土保持方案中水保措施的实施，至设计水平年（2024年），工程建设过程中造成的水土流失将得到全面、及时、有效的防治。</w:t>
      </w:r>
      <w:r>
        <w:rPr>
          <w:rFonts w:hint="eastAsia"/>
          <w:color w:val="auto"/>
          <w:sz w:val="24"/>
        </w:rPr>
        <w:t>项目区水土流失治理度</w:t>
      </w:r>
      <w:r>
        <w:rPr>
          <w:color w:val="auto"/>
          <w:sz w:val="24"/>
        </w:rPr>
        <w:t>达到99.52%</w:t>
      </w:r>
      <w:r>
        <w:rPr>
          <w:rFonts w:hint="eastAsia"/>
          <w:color w:val="auto"/>
          <w:sz w:val="24"/>
        </w:rPr>
        <w:t>，</w:t>
      </w:r>
      <w:r>
        <w:rPr>
          <w:color w:val="auto"/>
          <w:sz w:val="24"/>
        </w:rPr>
        <w:t>土壤流失控制比达到1.</w:t>
      </w:r>
      <w:r>
        <w:rPr>
          <w:rFonts w:hint="eastAsia"/>
          <w:color w:val="auto"/>
          <w:sz w:val="24"/>
        </w:rPr>
        <w:t>0</w:t>
      </w:r>
      <w:r>
        <w:rPr>
          <w:color w:val="auto"/>
          <w:sz w:val="24"/>
        </w:rPr>
        <w:t>，</w:t>
      </w:r>
      <w:r>
        <w:rPr>
          <w:rFonts w:hint="eastAsia"/>
          <w:color w:val="auto"/>
          <w:sz w:val="24"/>
        </w:rPr>
        <w:t>渣土防护率达到</w:t>
      </w:r>
      <w:r>
        <w:rPr>
          <w:color w:val="auto"/>
          <w:sz w:val="24"/>
        </w:rPr>
        <w:t>99.56</w:t>
      </w:r>
      <w:r>
        <w:rPr>
          <w:rFonts w:hint="eastAsia"/>
          <w:color w:val="auto"/>
          <w:sz w:val="24"/>
        </w:rPr>
        <w:t>%，</w:t>
      </w:r>
      <w:r>
        <w:rPr>
          <w:color w:val="auto"/>
          <w:sz w:val="24"/>
        </w:rPr>
        <w:t>林草植被恢复率</w:t>
      </w:r>
      <w:r>
        <w:rPr>
          <w:rFonts w:hint="eastAsia"/>
          <w:color w:val="auto"/>
          <w:sz w:val="24"/>
        </w:rPr>
        <w:t>达到9</w:t>
      </w:r>
      <w:r>
        <w:rPr>
          <w:color w:val="auto"/>
          <w:sz w:val="24"/>
        </w:rPr>
        <w:t>9.64%</w:t>
      </w:r>
      <w:r>
        <w:rPr>
          <w:rFonts w:hint="eastAsia"/>
          <w:color w:val="auto"/>
          <w:sz w:val="24"/>
        </w:rPr>
        <w:t>，</w:t>
      </w:r>
      <w:r>
        <w:rPr>
          <w:color w:val="auto"/>
          <w:sz w:val="24"/>
        </w:rPr>
        <w:t>林草覆盖率</w:t>
      </w:r>
      <w:r>
        <w:rPr>
          <w:rFonts w:hint="eastAsia"/>
          <w:color w:val="auto"/>
          <w:sz w:val="24"/>
        </w:rPr>
        <w:t>达到6</w:t>
      </w:r>
      <w:r>
        <w:rPr>
          <w:color w:val="auto"/>
          <w:sz w:val="24"/>
        </w:rPr>
        <w:t>6.59%</w:t>
      </w:r>
      <w:r>
        <w:rPr>
          <w:rFonts w:hint="eastAsia"/>
          <w:color w:val="auto"/>
          <w:sz w:val="24"/>
        </w:rPr>
        <w:t>，表土保护率不作要求。</w:t>
      </w:r>
    </w:p>
    <w:bookmarkEnd w:id="48"/>
    <w:p>
      <w:pPr>
        <w:spacing w:line="360" w:lineRule="auto"/>
        <w:contextualSpacing/>
        <w:outlineLvl w:val="1"/>
        <w:rPr>
          <w:b/>
          <w:bCs/>
          <w:color w:val="auto"/>
          <w:sz w:val="30"/>
          <w:szCs w:val="30"/>
        </w:rPr>
      </w:pPr>
      <w:bookmarkStart w:id="51" w:name="_Toc145530045"/>
      <w:r>
        <w:rPr>
          <w:b/>
          <w:bCs/>
          <w:color w:val="auto"/>
          <w:sz w:val="30"/>
          <w:szCs w:val="30"/>
        </w:rPr>
        <w:t>1.10结论</w:t>
      </w:r>
      <w:bookmarkEnd w:id="49"/>
      <w:bookmarkEnd w:id="50"/>
      <w:bookmarkEnd w:id="51"/>
    </w:p>
    <w:p>
      <w:pPr>
        <w:adjustRightInd w:val="0"/>
        <w:spacing w:line="360" w:lineRule="auto"/>
        <w:ind w:firstLine="480" w:firstLineChars="200"/>
        <w:contextualSpacing/>
        <w:rPr>
          <w:color w:val="auto"/>
          <w:sz w:val="24"/>
        </w:rPr>
      </w:pPr>
      <w:r>
        <w:rPr>
          <w:color w:val="auto"/>
          <w:sz w:val="24"/>
        </w:rPr>
        <w:t>本方案在水土流失预测及分析评价主体工程中具有水土保持功能工程的基础上，针对建设施工活动引发水土流失的特点和造成危害程度，依据分区治理、突出重点的原则，对项目区水土流失进行综合治理。采取有效的水土流失防治措施，使项目区原有水土流失得到治理，新增水土流失得到有效防治，有效地保护了生态环境，从水土保持角度看，该项工程是可行的。</w:t>
      </w:r>
    </w:p>
    <w:p>
      <w:pPr>
        <w:adjustRightInd w:val="0"/>
        <w:spacing w:line="360" w:lineRule="auto"/>
        <w:ind w:firstLine="480" w:firstLineChars="200"/>
        <w:contextualSpacing/>
        <w:rPr>
          <w:color w:val="auto"/>
          <w:sz w:val="24"/>
        </w:rPr>
        <w:sectPr>
          <w:headerReference r:id="rId10" w:type="default"/>
          <w:footerReference r:id="rId11" w:type="default"/>
          <w:pgSz w:w="11906" w:h="16838"/>
          <w:pgMar w:top="1440" w:right="1800" w:bottom="1440" w:left="1800" w:header="851" w:footer="992" w:gutter="0"/>
          <w:pgNumType w:start="1"/>
          <w:cols w:space="425" w:num="1"/>
          <w:docGrid w:type="lines" w:linePitch="312" w:charSpace="0"/>
        </w:sectPr>
      </w:pPr>
      <w:r>
        <w:rPr>
          <w:rFonts w:hint="eastAsia"/>
          <w:color w:val="auto"/>
          <w:sz w:val="24"/>
        </w:rPr>
        <w:t>本项目已完工</w:t>
      </w:r>
      <w:r>
        <w:rPr>
          <w:color w:val="auto"/>
          <w:sz w:val="24"/>
        </w:rPr>
        <w:t>，</w:t>
      </w:r>
      <w:r>
        <w:rPr>
          <w:rFonts w:hint="eastAsia"/>
          <w:color w:val="auto"/>
          <w:sz w:val="24"/>
        </w:rPr>
        <w:t>方案批复后建设单位应尽快</w:t>
      </w:r>
      <w:r>
        <w:rPr>
          <w:color w:val="auto"/>
          <w:sz w:val="24"/>
        </w:rPr>
        <w:t>组织水土保持设施专项验收。</w:t>
      </w:r>
    </w:p>
    <w:p>
      <w:pPr>
        <w:spacing w:line="360" w:lineRule="auto"/>
        <w:contextualSpacing/>
        <w:jc w:val="center"/>
        <w:outlineLvl w:val="0"/>
        <w:rPr>
          <w:b/>
          <w:bCs/>
          <w:color w:val="auto"/>
          <w:sz w:val="36"/>
          <w:szCs w:val="36"/>
        </w:rPr>
      </w:pPr>
      <w:bookmarkStart w:id="52" w:name="_Toc521945590"/>
      <w:bookmarkStart w:id="53" w:name="_Toc522647705"/>
      <w:bookmarkStart w:id="54" w:name="_Toc145530046"/>
      <w:r>
        <w:rPr>
          <w:b/>
          <w:bCs/>
          <w:color w:val="auto"/>
          <w:sz w:val="36"/>
          <w:szCs w:val="36"/>
        </w:rPr>
        <w:t>2 项目概况</w:t>
      </w:r>
      <w:bookmarkEnd w:id="52"/>
      <w:bookmarkEnd w:id="53"/>
      <w:bookmarkEnd w:id="54"/>
    </w:p>
    <w:p>
      <w:pPr>
        <w:spacing w:line="360" w:lineRule="auto"/>
        <w:contextualSpacing/>
        <w:outlineLvl w:val="1"/>
        <w:rPr>
          <w:b/>
          <w:bCs/>
          <w:color w:val="auto"/>
          <w:sz w:val="30"/>
          <w:szCs w:val="30"/>
        </w:rPr>
      </w:pPr>
      <w:bookmarkStart w:id="55" w:name="_Toc521945594"/>
      <w:bookmarkStart w:id="56" w:name="_Toc522647707"/>
      <w:bookmarkStart w:id="57" w:name="_Toc145530047"/>
      <w:bookmarkStart w:id="58" w:name="_Hlk47612809"/>
      <w:bookmarkStart w:id="59" w:name="_Hlk51588004"/>
      <w:r>
        <w:rPr>
          <w:b/>
          <w:bCs/>
          <w:color w:val="auto"/>
          <w:sz w:val="30"/>
          <w:szCs w:val="30"/>
        </w:rPr>
        <w:t xml:space="preserve">2.1 </w:t>
      </w:r>
      <w:bookmarkEnd w:id="55"/>
      <w:bookmarkEnd w:id="56"/>
      <w:r>
        <w:rPr>
          <w:b/>
          <w:bCs/>
          <w:color w:val="auto"/>
          <w:sz w:val="30"/>
          <w:szCs w:val="30"/>
        </w:rPr>
        <w:t>项目组成及工程布置</w:t>
      </w:r>
      <w:bookmarkEnd w:id="57"/>
    </w:p>
    <w:p>
      <w:pPr>
        <w:adjustRightInd w:val="0"/>
        <w:snapToGrid w:val="0"/>
        <w:spacing w:line="360" w:lineRule="auto"/>
        <w:contextualSpacing/>
        <w:outlineLvl w:val="2"/>
        <w:rPr>
          <w:b/>
          <w:bCs/>
          <w:color w:val="auto"/>
          <w:sz w:val="28"/>
          <w:szCs w:val="28"/>
        </w:rPr>
      </w:pPr>
      <w:r>
        <w:rPr>
          <w:b/>
          <w:bCs/>
          <w:color w:val="auto"/>
          <w:sz w:val="28"/>
          <w:szCs w:val="28"/>
        </w:rPr>
        <w:t>2.1.1项目基本内容</w:t>
      </w:r>
    </w:p>
    <w:bookmarkEnd w:id="58"/>
    <w:bookmarkEnd w:id="59"/>
    <w:p>
      <w:pPr>
        <w:adjustRightInd w:val="0"/>
        <w:snapToGrid w:val="0"/>
        <w:spacing w:line="360" w:lineRule="auto"/>
        <w:ind w:firstLine="480" w:firstLineChars="200"/>
        <w:contextualSpacing/>
        <w:rPr>
          <w:color w:val="auto"/>
          <w:sz w:val="24"/>
        </w:rPr>
      </w:pPr>
      <w:r>
        <w:rPr>
          <w:color w:val="auto"/>
          <w:sz w:val="24"/>
        </w:rPr>
        <w:t>项目名称：鸡西市麻山区石墨产业园区污水处理厂二期扩建工程</w:t>
      </w:r>
    </w:p>
    <w:p>
      <w:pPr>
        <w:adjustRightInd w:val="0"/>
        <w:snapToGrid w:val="0"/>
        <w:spacing w:line="360" w:lineRule="auto"/>
        <w:ind w:firstLine="480" w:firstLineChars="200"/>
        <w:contextualSpacing/>
        <w:rPr>
          <w:color w:val="auto"/>
          <w:sz w:val="24"/>
        </w:rPr>
      </w:pPr>
      <w:r>
        <w:rPr>
          <w:color w:val="auto"/>
          <w:sz w:val="24"/>
        </w:rPr>
        <w:t>建设单位：鸡西市麻山区住房和城乡建设局</w:t>
      </w:r>
    </w:p>
    <w:p>
      <w:pPr>
        <w:adjustRightInd w:val="0"/>
        <w:snapToGrid w:val="0"/>
        <w:spacing w:line="360" w:lineRule="auto"/>
        <w:ind w:firstLine="480" w:firstLineChars="200"/>
        <w:contextualSpacing/>
        <w:rPr>
          <w:color w:val="auto"/>
          <w:sz w:val="24"/>
        </w:rPr>
      </w:pPr>
      <w:r>
        <w:rPr>
          <w:color w:val="auto"/>
          <w:sz w:val="24"/>
        </w:rPr>
        <w:t>建设性质：</w:t>
      </w:r>
      <w:r>
        <w:rPr>
          <w:rFonts w:hint="eastAsia"/>
          <w:color w:val="auto"/>
          <w:sz w:val="24"/>
        </w:rPr>
        <w:t>改扩</w:t>
      </w:r>
      <w:r>
        <w:rPr>
          <w:color w:val="auto"/>
          <w:sz w:val="24"/>
        </w:rPr>
        <w:t>建建设类项目</w:t>
      </w:r>
    </w:p>
    <w:p>
      <w:pPr>
        <w:adjustRightInd w:val="0"/>
        <w:snapToGrid w:val="0"/>
        <w:spacing w:line="360" w:lineRule="auto"/>
        <w:ind w:firstLine="480" w:firstLineChars="200"/>
        <w:contextualSpacing/>
        <w:rPr>
          <w:color w:val="auto"/>
          <w:sz w:val="24"/>
        </w:rPr>
      </w:pPr>
      <w:r>
        <w:rPr>
          <w:rFonts w:hint="eastAsia"/>
          <w:color w:val="auto"/>
          <w:sz w:val="24"/>
        </w:rPr>
        <w:t>建设内容及规模：扩建工业污水处理规模为5</w:t>
      </w:r>
      <w:r>
        <w:rPr>
          <w:color w:val="auto"/>
          <w:sz w:val="24"/>
        </w:rPr>
        <w:t>000</w:t>
      </w:r>
      <w:r>
        <w:rPr>
          <w:rFonts w:hint="eastAsia"/>
          <w:color w:val="auto"/>
          <w:sz w:val="24"/>
        </w:rPr>
        <w:t>m</w:t>
      </w:r>
      <w:r>
        <w:rPr>
          <w:color w:val="auto"/>
          <w:sz w:val="24"/>
          <w:vertAlign w:val="superscript"/>
        </w:rPr>
        <w:t>3</w:t>
      </w:r>
      <w:r>
        <w:rPr>
          <w:color w:val="auto"/>
          <w:sz w:val="24"/>
        </w:rPr>
        <w:t>/d</w:t>
      </w:r>
      <w:r>
        <w:rPr>
          <w:rFonts w:hint="eastAsia"/>
          <w:color w:val="auto"/>
          <w:sz w:val="24"/>
        </w:rPr>
        <w:t>；生活污水处理规模为</w:t>
      </w:r>
      <w:r>
        <w:rPr>
          <w:color w:val="auto"/>
          <w:sz w:val="24"/>
        </w:rPr>
        <w:t>300</w:t>
      </w:r>
      <w:r>
        <w:rPr>
          <w:rFonts w:hint="eastAsia"/>
          <w:color w:val="auto"/>
          <w:sz w:val="24"/>
        </w:rPr>
        <w:t>m</w:t>
      </w:r>
      <w:r>
        <w:rPr>
          <w:color w:val="auto"/>
          <w:sz w:val="24"/>
          <w:vertAlign w:val="superscript"/>
        </w:rPr>
        <w:t>3</w:t>
      </w:r>
      <w:r>
        <w:rPr>
          <w:color w:val="auto"/>
          <w:sz w:val="24"/>
        </w:rPr>
        <w:t>/d</w:t>
      </w:r>
      <w:r>
        <w:rPr>
          <w:rFonts w:hint="eastAsia"/>
          <w:color w:val="auto"/>
          <w:sz w:val="24"/>
        </w:rPr>
        <w:t>；新建工业污水排放管网5</w:t>
      </w:r>
      <w:r>
        <w:rPr>
          <w:color w:val="auto"/>
          <w:sz w:val="24"/>
        </w:rPr>
        <w:t>341m</w:t>
      </w:r>
      <w:r>
        <w:rPr>
          <w:rFonts w:hint="eastAsia"/>
          <w:color w:val="auto"/>
          <w:sz w:val="24"/>
        </w:rPr>
        <w:t>，管径为D</w:t>
      </w:r>
      <w:r>
        <w:rPr>
          <w:color w:val="auto"/>
          <w:sz w:val="24"/>
        </w:rPr>
        <w:t>N200~DN500</w:t>
      </w:r>
      <w:r>
        <w:rPr>
          <w:rFonts w:hint="eastAsia"/>
          <w:color w:val="auto"/>
          <w:sz w:val="24"/>
        </w:rPr>
        <w:t>；生活污水排放管网4</w:t>
      </w:r>
      <w:r>
        <w:rPr>
          <w:color w:val="auto"/>
          <w:sz w:val="24"/>
        </w:rPr>
        <w:t>522m</w:t>
      </w:r>
      <w:r>
        <w:rPr>
          <w:rFonts w:hint="eastAsia"/>
          <w:color w:val="auto"/>
          <w:sz w:val="24"/>
        </w:rPr>
        <w:t>，管径为D</w:t>
      </w:r>
      <w:r>
        <w:rPr>
          <w:color w:val="auto"/>
          <w:sz w:val="24"/>
        </w:rPr>
        <w:t>N300~DN400</w:t>
      </w:r>
      <w:r>
        <w:rPr>
          <w:rFonts w:hint="eastAsia"/>
          <w:color w:val="auto"/>
          <w:sz w:val="24"/>
        </w:rPr>
        <w:t>；污水处理厂出水回用管网3</w:t>
      </w:r>
      <w:r>
        <w:rPr>
          <w:color w:val="auto"/>
          <w:sz w:val="24"/>
        </w:rPr>
        <w:t>089m</w:t>
      </w:r>
      <w:r>
        <w:rPr>
          <w:rFonts w:hint="eastAsia"/>
          <w:color w:val="auto"/>
          <w:sz w:val="24"/>
        </w:rPr>
        <w:t>，管径为D</w:t>
      </w:r>
      <w:r>
        <w:rPr>
          <w:color w:val="auto"/>
          <w:sz w:val="24"/>
        </w:rPr>
        <w:t>N150~DN300</w:t>
      </w:r>
      <w:r>
        <w:rPr>
          <w:rFonts w:hint="eastAsia"/>
          <w:color w:val="auto"/>
          <w:sz w:val="24"/>
        </w:rPr>
        <w:t>；设置储水罐3罐；缓冲池1座；提升系统3套。新建混凝土明渠2</w:t>
      </w:r>
      <w:r>
        <w:rPr>
          <w:color w:val="auto"/>
          <w:sz w:val="24"/>
        </w:rPr>
        <w:t>60m</w:t>
      </w:r>
      <w:r>
        <w:rPr>
          <w:rFonts w:hint="eastAsia"/>
          <w:color w:val="auto"/>
          <w:sz w:val="24"/>
        </w:rPr>
        <w:t>，混凝土雨水管网2</w:t>
      </w:r>
      <w:r>
        <w:rPr>
          <w:color w:val="auto"/>
          <w:sz w:val="24"/>
        </w:rPr>
        <w:t>49m</w:t>
      </w:r>
      <w:r>
        <w:rPr>
          <w:rFonts w:hint="eastAsia"/>
          <w:color w:val="auto"/>
          <w:sz w:val="24"/>
        </w:rPr>
        <w:t>，管径为</w:t>
      </w:r>
      <w:r>
        <w:rPr>
          <w:color w:val="auto"/>
          <w:sz w:val="24"/>
        </w:rPr>
        <w:t>1000~1200mm</w:t>
      </w:r>
      <w:r>
        <w:rPr>
          <w:rFonts w:hint="eastAsia"/>
          <w:color w:val="auto"/>
          <w:sz w:val="24"/>
        </w:rPr>
        <w:t>。</w:t>
      </w:r>
    </w:p>
    <w:p>
      <w:pPr>
        <w:adjustRightInd w:val="0"/>
        <w:snapToGrid w:val="0"/>
        <w:spacing w:line="360" w:lineRule="auto"/>
        <w:ind w:firstLine="480" w:firstLineChars="200"/>
        <w:contextualSpacing/>
        <w:rPr>
          <w:color w:val="auto"/>
          <w:sz w:val="24"/>
        </w:rPr>
      </w:pPr>
      <w:r>
        <w:rPr>
          <w:color w:val="auto"/>
          <w:sz w:val="24"/>
        </w:rPr>
        <w:t>建设投资：本项目总投资13726.01万元，其中土建投资12641.36万元，</w:t>
      </w:r>
      <w:r>
        <w:rPr>
          <w:rFonts w:hint="eastAsia"/>
          <w:color w:val="auto"/>
          <w:sz w:val="24"/>
        </w:rPr>
        <w:t>资金来源为企业</w:t>
      </w:r>
      <w:r>
        <w:rPr>
          <w:color w:val="auto"/>
          <w:sz w:val="24"/>
        </w:rPr>
        <w:t>自筹。</w:t>
      </w:r>
    </w:p>
    <w:p>
      <w:pPr>
        <w:adjustRightInd w:val="0"/>
        <w:snapToGrid w:val="0"/>
        <w:spacing w:line="360" w:lineRule="auto"/>
        <w:ind w:firstLine="480" w:firstLineChars="200"/>
        <w:contextualSpacing/>
        <w:rPr>
          <w:color w:val="auto"/>
          <w:sz w:val="24"/>
        </w:rPr>
      </w:pPr>
      <w:r>
        <w:rPr>
          <w:color w:val="auto"/>
          <w:sz w:val="24"/>
        </w:rPr>
        <w:t>建设工期：</w:t>
      </w:r>
      <w:r>
        <w:rPr>
          <w:rFonts w:hint="eastAsia"/>
          <w:color w:val="auto"/>
          <w:sz w:val="24"/>
        </w:rPr>
        <w:t>已</w:t>
      </w:r>
      <w:r>
        <w:rPr>
          <w:color w:val="auto"/>
          <w:sz w:val="24"/>
        </w:rPr>
        <w:t>于2022年5月开工，</w:t>
      </w:r>
      <w:r>
        <w:rPr>
          <w:rFonts w:hint="eastAsia"/>
          <w:color w:val="auto"/>
          <w:sz w:val="24"/>
        </w:rPr>
        <w:t>计划</w:t>
      </w:r>
      <w:r>
        <w:rPr>
          <w:color w:val="auto"/>
          <w:sz w:val="24"/>
        </w:rPr>
        <w:t>2023年12月完工，总工期20个月。</w:t>
      </w:r>
    </w:p>
    <w:p>
      <w:pPr>
        <w:adjustRightInd w:val="0"/>
        <w:snapToGrid w:val="0"/>
        <w:spacing w:line="360" w:lineRule="auto"/>
        <w:ind w:firstLine="480" w:firstLineChars="200"/>
        <w:contextualSpacing/>
        <w:rPr>
          <w:color w:val="auto"/>
          <w:sz w:val="24"/>
        </w:rPr>
      </w:pPr>
      <w:r>
        <w:rPr>
          <w:rFonts w:hint="eastAsia"/>
          <w:color w:val="auto"/>
          <w:sz w:val="24"/>
        </w:rPr>
        <w:t>征占地：本项目征占地总面积为4</w:t>
      </w:r>
      <w:r>
        <w:rPr>
          <w:color w:val="auto"/>
          <w:sz w:val="24"/>
        </w:rPr>
        <w:t>.19hm</w:t>
      </w:r>
      <w:r>
        <w:rPr>
          <w:color w:val="auto"/>
          <w:sz w:val="24"/>
          <w:vertAlign w:val="superscript"/>
        </w:rPr>
        <w:t>2</w:t>
      </w:r>
      <w:r>
        <w:rPr>
          <w:rFonts w:hint="eastAsia"/>
          <w:color w:val="auto"/>
          <w:sz w:val="24"/>
        </w:rPr>
        <w:t>，其中永久占地3</w:t>
      </w:r>
      <w:r>
        <w:rPr>
          <w:color w:val="auto"/>
          <w:sz w:val="24"/>
        </w:rPr>
        <w:t>.00hm</w:t>
      </w:r>
      <w:r>
        <w:rPr>
          <w:color w:val="auto"/>
          <w:sz w:val="24"/>
          <w:vertAlign w:val="superscript"/>
        </w:rPr>
        <w:t>2</w:t>
      </w:r>
      <w:r>
        <w:rPr>
          <w:rFonts w:hint="eastAsia"/>
          <w:color w:val="auto"/>
          <w:sz w:val="24"/>
        </w:rPr>
        <w:t>（其中一期预留用地0</w:t>
      </w:r>
      <w:r>
        <w:rPr>
          <w:color w:val="auto"/>
          <w:sz w:val="24"/>
        </w:rPr>
        <w:t>.50hm</w:t>
      </w:r>
      <w:r>
        <w:rPr>
          <w:color w:val="auto"/>
          <w:sz w:val="24"/>
          <w:vertAlign w:val="superscript"/>
        </w:rPr>
        <w:t>2</w:t>
      </w:r>
      <w:r>
        <w:rPr>
          <w:rFonts w:hint="eastAsia"/>
          <w:color w:val="auto"/>
          <w:sz w:val="24"/>
        </w:rPr>
        <w:t>，二期用地2</w:t>
      </w:r>
      <w:r>
        <w:rPr>
          <w:color w:val="auto"/>
          <w:sz w:val="24"/>
        </w:rPr>
        <w:t>.50hm</w:t>
      </w:r>
      <w:r>
        <w:rPr>
          <w:color w:val="auto"/>
          <w:sz w:val="24"/>
          <w:vertAlign w:val="superscript"/>
        </w:rPr>
        <w:t>2</w:t>
      </w:r>
      <w:r>
        <w:rPr>
          <w:rFonts w:hint="eastAsia"/>
          <w:color w:val="auto"/>
          <w:sz w:val="24"/>
        </w:rPr>
        <w:t>），占地类型为公共管理与公共服务用地；临时占地1</w:t>
      </w:r>
      <w:r>
        <w:rPr>
          <w:color w:val="auto"/>
          <w:sz w:val="24"/>
        </w:rPr>
        <w:t>.19hm</w:t>
      </w:r>
      <w:r>
        <w:rPr>
          <w:color w:val="auto"/>
          <w:sz w:val="24"/>
          <w:vertAlign w:val="superscript"/>
        </w:rPr>
        <w:t>2</w:t>
      </w:r>
      <w:r>
        <w:rPr>
          <w:rFonts w:hint="eastAsia"/>
          <w:color w:val="auto"/>
          <w:sz w:val="24"/>
        </w:rPr>
        <w:t>，占地类型为其他林地。</w:t>
      </w:r>
    </w:p>
    <w:p>
      <w:pPr>
        <w:adjustRightInd w:val="0"/>
        <w:snapToGrid w:val="0"/>
        <w:spacing w:line="360" w:lineRule="auto"/>
        <w:ind w:firstLine="480" w:firstLineChars="200"/>
        <w:contextualSpacing/>
        <w:rPr>
          <w:color w:val="auto"/>
          <w:sz w:val="24"/>
        </w:rPr>
      </w:pPr>
      <w:r>
        <w:rPr>
          <w:color w:val="auto"/>
          <w:sz w:val="24"/>
        </w:rPr>
        <w:t>地理位置：污水处理厂二期扩建工程位于黑龙江省</w:t>
      </w:r>
      <w:r>
        <w:rPr>
          <w:rFonts w:hint="eastAsia"/>
          <w:color w:val="auto"/>
          <w:sz w:val="24"/>
        </w:rPr>
        <w:t>鸡西市麻山区石墨产业园区一期污水处理厂西侧，北侧为园区规划七路和方虎公路，东侧为规划三街。</w:t>
      </w:r>
      <w:r>
        <w:rPr>
          <w:color w:val="auto"/>
          <w:sz w:val="24"/>
        </w:rPr>
        <w:t>项目中心地理坐标130°30′11.91″E，45°12′53.63″N。</w:t>
      </w:r>
    </w:p>
    <w:p>
      <w:pPr>
        <w:adjustRightInd w:val="0"/>
        <w:snapToGrid w:val="0"/>
        <w:spacing w:line="360" w:lineRule="auto"/>
        <w:ind w:firstLine="480" w:firstLineChars="200"/>
        <w:contextualSpacing/>
        <w:rPr>
          <w:color w:val="auto"/>
          <w:sz w:val="24"/>
        </w:rPr>
      </w:pPr>
      <w:bookmarkStart w:id="60" w:name="_Hlk78968446"/>
      <w:r>
        <w:rPr>
          <w:color w:val="auto"/>
          <w:sz w:val="24"/>
        </w:rPr>
        <w:t>项目工程特性及主要技术指标见表2.1-1。</w:t>
      </w:r>
      <w:bookmarkEnd w:id="60"/>
    </w:p>
    <w:p>
      <w:pPr>
        <w:pStyle w:val="11"/>
        <w:adjustRightInd w:val="0"/>
        <w:snapToGrid w:val="0"/>
        <w:spacing w:after="0" w:line="300" w:lineRule="auto"/>
        <w:contextualSpacing/>
        <w:jc w:val="center"/>
        <w:rPr>
          <w:b/>
          <w:color w:val="auto"/>
          <w:sz w:val="21"/>
          <w:szCs w:val="21"/>
        </w:rPr>
      </w:pPr>
      <w:r>
        <w:rPr>
          <w:b/>
          <w:color w:val="auto"/>
          <w:sz w:val="21"/>
          <w:szCs w:val="21"/>
        </w:rPr>
        <w:t>表2.1-1  项目工程特性及主要技术指标表</w:t>
      </w:r>
    </w:p>
    <w:tbl>
      <w:tblPr>
        <w:tblStyle w:val="26"/>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555"/>
        <w:gridCol w:w="268"/>
        <w:gridCol w:w="763"/>
        <w:gridCol w:w="313"/>
        <w:gridCol w:w="673"/>
        <w:gridCol w:w="329"/>
        <w:gridCol w:w="264"/>
        <w:gridCol w:w="229"/>
        <w:gridCol w:w="538"/>
        <w:gridCol w:w="503"/>
        <w:gridCol w:w="285"/>
        <w:gridCol w:w="240"/>
        <w:gridCol w:w="96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37" w:type="dxa"/>
            <w:gridSpan w:val="15"/>
            <w:vAlign w:val="center"/>
          </w:tcPr>
          <w:p>
            <w:pPr>
              <w:pStyle w:val="11"/>
              <w:adjustRightInd w:val="0"/>
              <w:snapToGrid w:val="0"/>
              <w:spacing w:after="0"/>
              <w:contextualSpacing/>
              <w:jc w:val="center"/>
              <w:rPr>
                <w:bCs/>
                <w:color w:val="auto"/>
                <w:sz w:val="21"/>
                <w:szCs w:val="21"/>
              </w:rPr>
            </w:pPr>
            <w:r>
              <w:rPr>
                <w:bCs/>
                <w:color w:val="auto"/>
                <w:sz w:val="21"/>
                <w:szCs w:val="21"/>
              </w:rPr>
              <w:t>一、项目的基本情况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项目名称</w:t>
            </w:r>
          </w:p>
        </w:tc>
        <w:tc>
          <w:tcPr>
            <w:tcW w:w="7200" w:type="dxa"/>
            <w:gridSpan w:val="14"/>
            <w:vAlign w:val="center"/>
          </w:tcPr>
          <w:p>
            <w:pPr>
              <w:pStyle w:val="11"/>
              <w:adjustRightInd w:val="0"/>
              <w:snapToGrid w:val="0"/>
              <w:spacing w:after="0"/>
              <w:contextualSpacing/>
              <w:jc w:val="center"/>
              <w:rPr>
                <w:bCs/>
                <w:color w:val="auto"/>
                <w:sz w:val="21"/>
                <w:szCs w:val="21"/>
              </w:rPr>
            </w:pPr>
            <w:r>
              <w:rPr>
                <w:bCs/>
                <w:color w:val="auto"/>
                <w:sz w:val="21"/>
                <w:szCs w:val="21"/>
              </w:rPr>
              <w:t>鸡西市麻山区石墨产业园区污水处理厂二期扩建工程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建设单位</w:t>
            </w:r>
          </w:p>
        </w:tc>
        <w:tc>
          <w:tcPr>
            <w:tcW w:w="3165" w:type="dxa"/>
            <w:gridSpan w:val="7"/>
            <w:vAlign w:val="center"/>
          </w:tcPr>
          <w:p>
            <w:pPr>
              <w:pStyle w:val="11"/>
              <w:adjustRightInd w:val="0"/>
              <w:snapToGrid w:val="0"/>
              <w:spacing w:after="0"/>
              <w:contextualSpacing/>
              <w:jc w:val="center"/>
              <w:rPr>
                <w:bCs/>
                <w:color w:val="auto"/>
                <w:sz w:val="21"/>
                <w:szCs w:val="21"/>
              </w:rPr>
            </w:pPr>
            <w:r>
              <w:rPr>
                <w:bCs/>
                <w:color w:val="auto"/>
                <w:sz w:val="21"/>
                <w:szCs w:val="21"/>
              </w:rPr>
              <w:t>鸡西市麻山区住房和城乡建设局</w:t>
            </w:r>
          </w:p>
        </w:tc>
        <w:tc>
          <w:tcPr>
            <w:tcW w:w="1270"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建设地点</w:t>
            </w:r>
          </w:p>
        </w:tc>
        <w:tc>
          <w:tcPr>
            <w:tcW w:w="2765" w:type="dxa"/>
            <w:gridSpan w:val="4"/>
            <w:vAlign w:val="center"/>
          </w:tcPr>
          <w:p>
            <w:pPr>
              <w:pStyle w:val="11"/>
              <w:adjustRightInd w:val="0"/>
              <w:snapToGrid w:val="0"/>
              <w:spacing w:after="0"/>
              <w:contextualSpacing/>
              <w:jc w:val="center"/>
              <w:rPr>
                <w:bCs/>
                <w:color w:val="auto"/>
                <w:sz w:val="21"/>
                <w:szCs w:val="21"/>
              </w:rPr>
            </w:pPr>
            <w:r>
              <w:rPr>
                <w:color w:val="auto"/>
                <w:sz w:val="21"/>
                <w:szCs w:val="21"/>
              </w:rPr>
              <w:t>黑龙江省</w:t>
            </w:r>
            <w:r>
              <w:rPr>
                <w:rFonts w:hint="eastAsia"/>
                <w:color w:val="auto"/>
                <w:sz w:val="21"/>
                <w:szCs w:val="21"/>
              </w:rPr>
              <w:t>鸡西市麻山区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建筑规模</w:t>
            </w:r>
          </w:p>
        </w:tc>
        <w:tc>
          <w:tcPr>
            <w:tcW w:w="3165" w:type="dxa"/>
            <w:gridSpan w:val="7"/>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扩建工业污水处理规模为5</w:t>
            </w:r>
            <w:r>
              <w:rPr>
                <w:bCs/>
                <w:color w:val="auto"/>
                <w:sz w:val="21"/>
                <w:szCs w:val="21"/>
              </w:rPr>
              <w:t>000</w:t>
            </w:r>
            <w:r>
              <w:rPr>
                <w:rFonts w:hint="eastAsia"/>
                <w:bCs/>
                <w:color w:val="auto"/>
                <w:sz w:val="21"/>
                <w:szCs w:val="21"/>
              </w:rPr>
              <w:t>m</w:t>
            </w:r>
            <w:r>
              <w:rPr>
                <w:bCs/>
                <w:color w:val="auto"/>
                <w:sz w:val="21"/>
                <w:szCs w:val="21"/>
                <w:vertAlign w:val="superscript"/>
              </w:rPr>
              <w:t>3</w:t>
            </w:r>
            <w:r>
              <w:rPr>
                <w:bCs/>
                <w:color w:val="auto"/>
                <w:sz w:val="21"/>
                <w:szCs w:val="21"/>
              </w:rPr>
              <w:t>/d</w:t>
            </w:r>
            <w:r>
              <w:rPr>
                <w:rFonts w:hint="eastAsia"/>
                <w:bCs/>
                <w:color w:val="auto"/>
                <w:sz w:val="21"/>
                <w:szCs w:val="21"/>
              </w:rPr>
              <w:t>，生活污水处理规模为</w:t>
            </w:r>
            <w:r>
              <w:rPr>
                <w:bCs/>
                <w:color w:val="auto"/>
                <w:sz w:val="21"/>
                <w:szCs w:val="21"/>
              </w:rPr>
              <w:t>300</w:t>
            </w:r>
            <w:r>
              <w:rPr>
                <w:rFonts w:hint="eastAsia"/>
                <w:bCs/>
                <w:color w:val="auto"/>
                <w:sz w:val="21"/>
                <w:szCs w:val="21"/>
              </w:rPr>
              <w:t>m</w:t>
            </w:r>
            <w:r>
              <w:rPr>
                <w:bCs/>
                <w:color w:val="auto"/>
                <w:sz w:val="21"/>
                <w:szCs w:val="21"/>
                <w:vertAlign w:val="superscript"/>
              </w:rPr>
              <w:t>3</w:t>
            </w:r>
            <w:r>
              <w:rPr>
                <w:bCs/>
                <w:color w:val="auto"/>
                <w:sz w:val="21"/>
                <w:szCs w:val="21"/>
              </w:rPr>
              <w:t>/d</w:t>
            </w:r>
          </w:p>
        </w:tc>
        <w:tc>
          <w:tcPr>
            <w:tcW w:w="1270"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建设性质</w:t>
            </w:r>
          </w:p>
        </w:tc>
        <w:tc>
          <w:tcPr>
            <w:tcW w:w="2765" w:type="dxa"/>
            <w:gridSpan w:val="4"/>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改扩</w:t>
            </w:r>
            <w:r>
              <w:rPr>
                <w:bCs/>
                <w:color w:val="auto"/>
                <w:sz w:val="21"/>
                <w:szCs w:val="21"/>
              </w:rPr>
              <w:t>建建设类项目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总投资</w:t>
            </w:r>
          </w:p>
        </w:tc>
        <w:tc>
          <w:tcPr>
            <w:tcW w:w="3165" w:type="dxa"/>
            <w:gridSpan w:val="7"/>
            <w:vAlign w:val="center"/>
          </w:tcPr>
          <w:p>
            <w:pPr>
              <w:pStyle w:val="11"/>
              <w:adjustRightInd w:val="0"/>
              <w:snapToGrid w:val="0"/>
              <w:spacing w:after="0"/>
              <w:contextualSpacing/>
              <w:jc w:val="center"/>
              <w:rPr>
                <w:bCs/>
                <w:color w:val="auto"/>
                <w:sz w:val="21"/>
                <w:szCs w:val="21"/>
              </w:rPr>
            </w:pPr>
            <w:r>
              <w:rPr>
                <w:bCs/>
                <w:color w:val="auto"/>
                <w:sz w:val="21"/>
                <w:szCs w:val="21"/>
              </w:rPr>
              <w:t>13726.01万元</w:t>
            </w:r>
          </w:p>
        </w:tc>
        <w:tc>
          <w:tcPr>
            <w:tcW w:w="1270"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土建投资</w:t>
            </w:r>
          </w:p>
        </w:tc>
        <w:tc>
          <w:tcPr>
            <w:tcW w:w="2765" w:type="dxa"/>
            <w:gridSpan w:val="4"/>
            <w:vAlign w:val="center"/>
          </w:tcPr>
          <w:p>
            <w:pPr>
              <w:pStyle w:val="11"/>
              <w:adjustRightInd w:val="0"/>
              <w:snapToGrid w:val="0"/>
              <w:spacing w:after="0"/>
              <w:contextualSpacing/>
              <w:jc w:val="center"/>
              <w:rPr>
                <w:bCs/>
                <w:color w:val="auto"/>
                <w:sz w:val="21"/>
                <w:szCs w:val="21"/>
              </w:rPr>
            </w:pPr>
            <w:r>
              <w:rPr>
                <w:bCs/>
                <w:color w:val="auto"/>
                <w:sz w:val="21"/>
                <w:szCs w:val="21"/>
              </w:rPr>
              <w:t>12641.36万元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总工期</w:t>
            </w:r>
          </w:p>
        </w:tc>
        <w:tc>
          <w:tcPr>
            <w:tcW w:w="7200" w:type="dxa"/>
            <w:gridSpan w:val="14"/>
            <w:vAlign w:val="center"/>
          </w:tcPr>
          <w:p>
            <w:pPr>
              <w:pStyle w:val="11"/>
              <w:adjustRightInd w:val="0"/>
              <w:snapToGrid w:val="0"/>
              <w:spacing w:after="0"/>
              <w:contextualSpacing/>
              <w:jc w:val="center"/>
              <w:rPr>
                <w:bCs/>
                <w:color w:val="auto"/>
                <w:sz w:val="21"/>
                <w:szCs w:val="21"/>
              </w:rPr>
            </w:pPr>
            <w:r>
              <w:rPr>
                <w:bCs/>
                <w:color w:val="auto"/>
                <w:sz w:val="21"/>
                <w:szCs w:val="21"/>
              </w:rPr>
              <w:t>总工期</w:t>
            </w:r>
            <w:r>
              <w:rPr>
                <w:rFonts w:hint="eastAsia"/>
                <w:bCs/>
                <w:color w:val="auto"/>
                <w:sz w:val="21"/>
                <w:szCs w:val="21"/>
              </w:rPr>
              <w:t>2</w:t>
            </w:r>
            <w:r>
              <w:rPr>
                <w:bCs/>
                <w:color w:val="auto"/>
                <w:sz w:val="21"/>
                <w:szCs w:val="21"/>
              </w:rPr>
              <w:t>0个月（含施工准备期），建设工期为2022年</w:t>
            </w:r>
            <w:r>
              <w:rPr>
                <w:rFonts w:hint="eastAsia"/>
                <w:bCs/>
                <w:color w:val="auto"/>
                <w:sz w:val="21"/>
                <w:szCs w:val="21"/>
              </w:rPr>
              <w:t>5</w:t>
            </w:r>
            <w:r>
              <w:rPr>
                <w:bCs/>
                <w:color w:val="auto"/>
                <w:sz w:val="21"/>
                <w:szCs w:val="21"/>
              </w:rPr>
              <w:t>月至2023年12月。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Merge w:val="restart"/>
            <w:vAlign w:val="center"/>
          </w:tcPr>
          <w:p>
            <w:pPr>
              <w:pStyle w:val="11"/>
              <w:adjustRightInd w:val="0"/>
              <w:snapToGrid w:val="0"/>
              <w:spacing w:after="0"/>
              <w:contextualSpacing/>
              <w:jc w:val="center"/>
              <w:rPr>
                <w:bCs/>
                <w:color w:val="auto"/>
                <w:sz w:val="21"/>
                <w:szCs w:val="21"/>
              </w:rPr>
            </w:pPr>
            <w:r>
              <w:rPr>
                <w:bCs/>
                <w:color w:val="auto"/>
                <w:sz w:val="21"/>
                <w:szCs w:val="21"/>
              </w:rPr>
              <w:t>技术指标</w:t>
            </w:r>
          </w:p>
        </w:tc>
        <w:tc>
          <w:tcPr>
            <w:tcW w:w="1586"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建筑面积</w:t>
            </w:r>
          </w:p>
        </w:tc>
        <w:tc>
          <w:tcPr>
            <w:tcW w:w="1808" w:type="dxa"/>
            <w:gridSpan w:val="5"/>
            <w:vAlign w:val="center"/>
          </w:tcPr>
          <w:p>
            <w:pPr>
              <w:pStyle w:val="11"/>
              <w:adjustRightInd w:val="0"/>
              <w:snapToGrid w:val="0"/>
              <w:spacing w:after="0"/>
              <w:contextualSpacing/>
              <w:jc w:val="center"/>
              <w:rPr>
                <w:bCs/>
                <w:color w:val="auto"/>
                <w:sz w:val="21"/>
                <w:szCs w:val="21"/>
              </w:rPr>
            </w:pPr>
            <w:r>
              <w:rPr>
                <w:bCs/>
                <w:color w:val="auto"/>
                <w:sz w:val="21"/>
                <w:szCs w:val="21"/>
              </w:rPr>
              <w:t>12021.46</w:t>
            </w:r>
            <w:r>
              <w:rPr>
                <w:color w:val="auto"/>
                <w:sz w:val="21"/>
                <w:szCs w:val="21"/>
              </w:rPr>
              <w:t>m</w:t>
            </w:r>
            <w:r>
              <w:rPr>
                <w:color w:val="auto"/>
                <w:sz w:val="21"/>
                <w:szCs w:val="21"/>
                <w:vertAlign w:val="superscript"/>
              </w:rPr>
              <w:t>2</w:t>
            </w:r>
          </w:p>
        </w:tc>
        <w:tc>
          <w:tcPr>
            <w:tcW w:w="1566" w:type="dxa"/>
            <w:gridSpan w:val="4"/>
            <w:vAlign w:val="center"/>
          </w:tcPr>
          <w:p>
            <w:pPr>
              <w:pStyle w:val="11"/>
              <w:adjustRightInd w:val="0"/>
              <w:snapToGrid w:val="0"/>
              <w:spacing w:after="0"/>
              <w:contextualSpacing/>
              <w:jc w:val="center"/>
              <w:rPr>
                <w:bCs/>
                <w:color w:val="auto"/>
                <w:sz w:val="21"/>
                <w:szCs w:val="21"/>
              </w:rPr>
            </w:pPr>
            <w:r>
              <w:rPr>
                <w:bCs/>
                <w:color w:val="auto"/>
                <w:sz w:val="21"/>
                <w:szCs w:val="21"/>
              </w:rPr>
              <w:t>容积率</w:t>
            </w:r>
          </w:p>
        </w:tc>
        <w:tc>
          <w:tcPr>
            <w:tcW w:w="2240" w:type="dxa"/>
            <w:gridSpan w:val="2"/>
            <w:vAlign w:val="center"/>
          </w:tcPr>
          <w:p>
            <w:pPr>
              <w:pStyle w:val="11"/>
              <w:adjustRightInd w:val="0"/>
              <w:snapToGrid w:val="0"/>
              <w:spacing w:after="0"/>
              <w:contextualSpacing/>
              <w:jc w:val="center"/>
              <w:rPr>
                <w:bCs/>
                <w:color w:val="auto"/>
                <w:sz w:val="21"/>
                <w:szCs w:val="21"/>
              </w:rPr>
            </w:pPr>
            <w:r>
              <w:rPr>
                <w:bCs/>
                <w:color w:val="auto"/>
                <w:sz w:val="21"/>
                <w:szCs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Merge w:val="continue"/>
            <w:vAlign w:val="center"/>
          </w:tcPr>
          <w:p>
            <w:pPr>
              <w:pStyle w:val="11"/>
              <w:adjustRightInd w:val="0"/>
              <w:snapToGrid w:val="0"/>
              <w:spacing w:after="0"/>
              <w:contextualSpacing/>
              <w:jc w:val="center"/>
              <w:rPr>
                <w:bCs/>
                <w:color w:val="auto"/>
                <w:sz w:val="21"/>
                <w:szCs w:val="21"/>
              </w:rPr>
            </w:pPr>
          </w:p>
        </w:tc>
        <w:tc>
          <w:tcPr>
            <w:tcW w:w="1586"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绿地率</w:t>
            </w:r>
          </w:p>
        </w:tc>
        <w:tc>
          <w:tcPr>
            <w:tcW w:w="1808" w:type="dxa"/>
            <w:gridSpan w:val="5"/>
            <w:vAlign w:val="center"/>
          </w:tcPr>
          <w:p>
            <w:pPr>
              <w:pStyle w:val="11"/>
              <w:adjustRightInd w:val="0"/>
              <w:snapToGrid w:val="0"/>
              <w:spacing w:after="0"/>
              <w:contextualSpacing/>
              <w:jc w:val="center"/>
              <w:rPr>
                <w:bCs/>
                <w:color w:val="auto"/>
                <w:sz w:val="21"/>
                <w:szCs w:val="21"/>
              </w:rPr>
            </w:pPr>
            <w:r>
              <w:rPr>
                <w:bCs/>
                <w:color w:val="auto"/>
                <w:sz w:val="21"/>
                <w:szCs w:val="21"/>
              </w:rPr>
              <w:t>53.45</w:t>
            </w:r>
          </w:p>
        </w:tc>
        <w:tc>
          <w:tcPr>
            <w:tcW w:w="1566" w:type="dxa"/>
            <w:gridSpan w:val="4"/>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园区管网</w:t>
            </w:r>
          </w:p>
        </w:tc>
        <w:tc>
          <w:tcPr>
            <w:tcW w:w="2240" w:type="dxa"/>
            <w:gridSpan w:val="2"/>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1</w:t>
            </w:r>
            <w:r>
              <w:rPr>
                <w:bCs/>
                <w:color w:val="auto"/>
                <w:sz w:val="21"/>
                <w:szCs w:val="21"/>
              </w:rPr>
              <w:t>2952m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37" w:type="dxa"/>
            <w:gridSpan w:val="15"/>
            <w:vAlign w:val="center"/>
          </w:tcPr>
          <w:p>
            <w:pPr>
              <w:pStyle w:val="11"/>
              <w:adjustRightInd w:val="0"/>
              <w:snapToGrid w:val="0"/>
              <w:spacing w:after="0"/>
              <w:contextualSpacing/>
              <w:jc w:val="center"/>
              <w:rPr>
                <w:bCs/>
                <w:color w:val="auto"/>
                <w:sz w:val="21"/>
                <w:szCs w:val="21"/>
              </w:rPr>
            </w:pPr>
            <w:r>
              <w:rPr>
                <w:bCs/>
                <w:color w:val="auto"/>
                <w:sz w:val="21"/>
                <w:szCs w:val="21"/>
              </w:rPr>
              <w:t>二、项目组成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总体布局</w:t>
            </w:r>
          </w:p>
        </w:tc>
        <w:tc>
          <w:tcPr>
            <w:tcW w:w="7200" w:type="dxa"/>
            <w:gridSpan w:val="14"/>
            <w:vAlign w:val="center"/>
          </w:tcPr>
          <w:p>
            <w:pPr>
              <w:adjustRightInd w:val="0"/>
              <w:snapToGrid w:val="0"/>
              <w:contextualSpacing/>
              <w:rPr>
                <w:bCs/>
                <w:color w:val="auto"/>
                <w:sz w:val="21"/>
                <w:szCs w:val="21"/>
              </w:rPr>
            </w:pPr>
            <w:r>
              <w:rPr>
                <w:bCs/>
                <w:color w:val="auto"/>
                <w:sz w:val="21"/>
                <w:szCs w:val="21"/>
              </w:rPr>
              <w:t>项目总占地面积为41934.00m</w:t>
            </w:r>
            <w:r>
              <w:rPr>
                <w:bCs/>
                <w:color w:val="auto"/>
                <w:sz w:val="21"/>
                <w:szCs w:val="21"/>
                <w:vertAlign w:val="superscript"/>
              </w:rPr>
              <w:t>2</w:t>
            </w:r>
            <w:r>
              <w:rPr>
                <w:bCs/>
                <w:color w:val="auto"/>
                <w:sz w:val="21"/>
                <w:szCs w:val="21"/>
              </w:rPr>
              <w:t>，包括建构筑物区、道路</w:t>
            </w:r>
            <w:r>
              <w:rPr>
                <w:rFonts w:hint="eastAsia"/>
                <w:bCs/>
                <w:color w:val="auto"/>
                <w:sz w:val="21"/>
                <w:szCs w:val="21"/>
              </w:rPr>
              <w:t>地面</w:t>
            </w:r>
            <w:r>
              <w:rPr>
                <w:bCs/>
                <w:color w:val="auto"/>
                <w:sz w:val="21"/>
                <w:szCs w:val="21"/>
              </w:rPr>
              <w:t>硬化区</w:t>
            </w:r>
            <w:r>
              <w:rPr>
                <w:rFonts w:hint="eastAsia"/>
                <w:bCs/>
                <w:color w:val="auto"/>
                <w:sz w:val="21"/>
                <w:szCs w:val="21"/>
              </w:rPr>
              <w:t>、绿化区、工业园区管网工程区及施工生产区</w:t>
            </w:r>
            <w:r>
              <w:rPr>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建构筑物区</w:t>
            </w:r>
          </w:p>
        </w:tc>
        <w:tc>
          <w:tcPr>
            <w:tcW w:w="7200" w:type="dxa"/>
            <w:gridSpan w:val="14"/>
            <w:vAlign w:val="center"/>
          </w:tcPr>
          <w:p>
            <w:pPr>
              <w:adjustRightInd w:val="0"/>
              <w:snapToGrid w:val="0"/>
              <w:contextualSpacing/>
              <w:rPr>
                <w:color w:val="auto"/>
                <w:sz w:val="21"/>
                <w:szCs w:val="21"/>
              </w:rPr>
            </w:pPr>
            <w:r>
              <w:rPr>
                <w:rFonts w:hint="eastAsia"/>
                <w:color w:val="auto"/>
                <w:sz w:val="21"/>
                <w:szCs w:val="21"/>
              </w:rPr>
              <w:t>厂区新建建筑有格栅间、石灰仓储间、深度处理厂房、膜处理厂房、生活污水处理厂房、污泥堆放间、综合楼、车辆清洗、检修间、门卫室、地秤室等，总</w:t>
            </w:r>
            <w:r>
              <w:rPr>
                <w:color w:val="auto"/>
                <w:sz w:val="21"/>
                <w:szCs w:val="21"/>
              </w:rPr>
              <w:t>占地面积8159.02m</w:t>
            </w:r>
            <w:r>
              <w:rPr>
                <w:color w:val="auto"/>
                <w:sz w:val="21"/>
                <w:szCs w:val="21"/>
                <w:vertAlign w:val="superscript"/>
              </w:rPr>
              <w:t>2</w:t>
            </w:r>
            <w:r>
              <w:rPr>
                <w:color w:val="auto"/>
                <w:sz w:val="21"/>
                <w:szCs w:val="21"/>
              </w:rPr>
              <w:t>，</w:t>
            </w:r>
            <w:r>
              <w:rPr>
                <w:rFonts w:hint="eastAsia"/>
                <w:color w:val="auto"/>
                <w:sz w:val="21"/>
                <w:szCs w:val="21"/>
              </w:rPr>
              <w:t>总建筑面积为</w:t>
            </w:r>
            <w:r>
              <w:rPr>
                <w:color w:val="auto"/>
                <w:sz w:val="21"/>
                <w:szCs w:val="21"/>
              </w:rPr>
              <w:t>12021.46m</w:t>
            </w:r>
            <w:r>
              <w:rPr>
                <w:color w:val="auto"/>
                <w:sz w:val="21"/>
                <w:szCs w:val="21"/>
                <w:vertAlign w:val="superscript"/>
              </w:rPr>
              <w:t>2</w:t>
            </w:r>
            <w:r>
              <w:rPr>
                <w:rFonts w:hint="eastAsia"/>
                <w:color w:val="auto"/>
                <w:sz w:val="21"/>
                <w:szCs w:val="21"/>
              </w:rPr>
              <w:t>，其中计容建筑面积</w:t>
            </w:r>
            <w:r>
              <w:rPr>
                <w:color w:val="auto"/>
                <w:sz w:val="21"/>
                <w:szCs w:val="21"/>
              </w:rPr>
              <w:t>9375.85m</w:t>
            </w:r>
            <w:r>
              <w:rPr>
                <w:color w:val="auto"/>
                <w:sz w:val="21"/>
                <w:szCs w:val="21"/>
                <w:vertAlign w:val="superscript"/>
              </w:rPr>
              <w:t>2</w:t>
            </w:r>
            <w:r>
              <w:rPr>
                <w:rFonts w:hint="eastAsia"/>
                <w:color w:val="auto"/>
                <w:sz w:val="21"/>
                <w:szCs w:val="21"/>
              </w:rPr>
              <w:t>，不计容建筑面积</w:t>
            </w:r>
            <w:r>
              <w:rPr>
                <w:color w:val="auto"/>
                <w:sz w:val="21"/>
                <w:szCs w:val="21"/>
              </w:rPr>
              <w:t>2645.61m</w:t>
            </w:r>
            <w:r>
              <w:rPr>
                <w:color w:val="auto"/>
                <w:sz w:val="21"/>
                <w:szCs w:val="21"/>
                <w:vertAlign w:val="superscript"/>
              </w:rPr>
              <w:t>2</w:t>
            </w:r>
            <w:r>
              <w:rPr>
                <w:rFonts w:hint="eastAsia"/>
                <w:color w:val="auto"/>
                <w:sz w:val="21"/>
                <w:szCs w:val="21"/>
              </w:rPr>
              <w:t>，容积率为</w:t>
            </w:r>
            <w:r>
              <w:rPr>
                <w:color w:val="auto"/>
                <w:sz w:val="21"/>
                <w:szCs w:val="21"/>
              </w:rPr>
              <w:t>0.31</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道路</w:t>
            </w:r>
            <w:r>
              <w:rPr>
                <w:rFonts w:hint="eastAsia"/>
                <w:bCs/>
                <w:color w:val="auto"/>
                <w:sz w:val="21"/>
                <w:szCs w:val="21"/>
              </w:rPr>
              <w:t>地面</w:t>
            </w:r>
            <w:r>
              <w:rPr>
                <w:bCs/>
                <w:color w:val="auto"/>
                <w:sz w:val="21"/>
                <w:szCs w:val="21"/>
              </w:rPr>
              <w:t>硬化区</w:t>
            </w:r>
          </w:p>
        </w:tc>
        <w:tc>
          <w:tcPr>
            <w:tcW w:w="7200" w:type="dxa"/>
            <w:gridSpan w:val="14"/>
            <w:vAlign w:val="center"/>
          </w:tcPr>
          <w:p>
            <w:pPr>
              <w:pStyle w:val="11"/>
              <w:adjustRightInd w:val="0"/>
              <w:snapToGrid w:val="0"/>
              <w:spacing w:after="0"/>
              <w:contextualSpacing/>
              <w:jc w:val="left"/>
              <w:rPr>
                <w:bCs/>
                <w:color w:val="auto"/>
                <w:sz w:val="21"/>
                <w:szCs w:val="21"/>
              </w:rPr>
            </w:pPr>
            <w:r>
              <w:rPr>
                <w:rFonts w:hint="eastAsia"/>
                <w:color w:val="auto"/>
                <w:sz w:val="21"/>
                <w:szCs w:val="21"/>
              </w:rPr>
              <w:t>厂区道路总铺筑面积约为</w:t>
            </w:r>
            <w:r>
              <w:rPr>
                <w:color w:val="auto"/>
                <w:sz w:val="21"/>
                <w:szCs w:val="21"/>
              </w:rPr>
              <w:t>5805.98</w:t>
            </w:r>
            <w:r>
              <w:rPr>
                <w:rFonts w:hint="eastAsia"/>
                <w:color w:val="auto"/>
                <w:sz w:val="21"/>
                <w:szCs w:val="21"/>
              </w:rPr>
              <w:t>m</w:t>
            </w:r>
            <w:r>
              <w:rPr>
                <w:rFonts w:hint="eastAsia"/>
                <w:color w:val="auto"/>
                <w:sz w:val="21"/>
                <w:szCs w:val="21"/>
                <w:vertAlign w:val="superscript"/>
              </w:rPr>
              <w:t>2</w:t>
            </w:r>
            <w:r>
              <w:rPr>
                <w:rFonts w:hint="eastAsia"/>
                <w:color w:val="auto"/>
                <w:sz w:val="21"/>
                <w:szCs w:val="21"/>
              </w:rPr>
              <w:t>。主、次干道路面宽度均为7m，道路内缘转弯半径为6m，采用沥青混凝土路面，路缘石高出路面1</w:t>
            </w:r>
            <w:r>
              <w:rPr>
                <w:color w:val="auto"/>
                <w:sz w:val="21"/>
                <w:szCs w:val="21"/>
              </w:rPr>
              <w:t>5cm</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绿化区</w:t>
            </w:r>
          </w:p>
        </w:tc>
        <w:tc>
          <w:tcPr>
            <w:tcW w:w="7200" w:type="dxa"/>
            <w:gridSpan w:val="14"/>
            <w:vAlign w:val="center"/>
          </w:tcPr>
          <w:p>
            <w:pPr>
              <w:pStyle w:val="11"/>
              <w:adjustRightInd w:val="0"/>
              <w:snapToGrid w:val="0"/>
              <w:spacing w:after="0"/>
              <w:contextualSpacing/>
              <w:jc w:val="left"/>
              <w:rPr>
                <w:color w:val="auto"/>
                <w:sz w:val="21"/>
                <w:szCs w:val="21"/>
              </w:rPr>
            </w:pPr>
            <w:r>
              <w:rPr>
                <w:rFonts w:hint="eastAsia"/>
                <w:color w:val="auto"/>
                <w:sz w:val="21"/>
                <w:szCs w:val="21"/>
              </w:rPr>
              <w:t>场内道路两侧、厂区周围绿化面积1</w:t>
            </w:r>
            <w:r>
              <w:rPr>
                <w:color w:val="auto"/>
                <w:sz w:val="21"/>
                <w:szCs w:val="21"/>
              </w:rPr>
              <w:t>6035.00m</w:t>
            </w:r>
            <w:r>
              <w:rPr>
                <w:color w:val="auto"/>
                <w:sz w:val="21"/>
                <w:szCs w:val="21"/>
                <w:vertAlign w:val="superscript"/>
              </w:rPr>
              <w:t>2</w:t>
            </w:r>
            <w:r>
              <w:rPr>
                <w:rFonts w:hint="eastAsia"/>
                <w:color w:val="auto"/>
                <w:sz w:val="21"/>
                <w:szCs w:val="21"/>
              </w:rPr>
              <w:t>，铺设草坪绿化率5</w:t>
            </w:r>
            <w:r>
              <w:rPr>
                <w:color w:val="auto"/>
                <w:sz w:val="21"/>
                <w:szCs w:val="21"/>
              </w:rPr>
              <w:t>3.45</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工业园区管网区</w:t>
            </w:r>
          </w:p>
        </w:tc>
        <w:tc>
          <w:tcPr>
            <w:tcW w:w="7200" w:type="dxa"/>
            <w:gridSpan w:val="14"/>
            <w:vAlign w:val="center"/>
          </w:tcPr>
          <w:p>
            <w:pPr>
              <w:pStyle w:val="11"/>
              <w:adjustRightInd w:val="0"/>
              <w:snapToGrid w:val="0"/>
              <w:spacing w:after="0"/>
              <w:contextualSpacing/>
              <w:jc w:val="left"/>
              <w:rPr>
                <w:color w:val="auto"/>
                <w:sz w:val="21"/>
                <w:szCs w:val="21"/>
              </w:rPr>
            </w:pPr>
            <w:r>
              <w:rPr>
                <w:rFonts w:hint="eastAsia"/>
                <w:color w:val="auto"/>
                <w:sz w:val="21"/>
                <w:szCs w:val="21"/>
              </w:rPr>
              <w:t>采用分流制排水体系，工业污水（酸性）单独收集进入工业污水处理厂处理，生活污水单独收集进入生活污水处理站处理后排放，临时占地面积1</w:t>
            </w:r>
            <w:r>
              <w:rPr>
                <w:color w:val="auto"/>
                <w:sz w:val="21"/>
                <w:szCs w:val="21"/>
              </w:rPr>
              <w:t>1934m</w:t>
            </w:r>
            <w:r>
              <w:rPr>
                <w:color w:val="auto"/>
                <w:sz w:val="21"/>
                <w:szCs w:val="21"/>
                <w:vertAlign w:val="superscript"/>
              </w:rPr>
              <w:t>2</w:t>
            </w:r>
            <w:r>
              <w:rPr>
                <w:color w:val="auto"/>
                <w:sz w:val="21"/>
                <w:szCs w:val="21"/>
              </w:rPr>
              <w:t>，</w:t>
            </w:r>
            <w:r>
              <w:rPr>
                <w:rFonts w:hint="eastAsia"/>
                <w:color w:val="auto"/>
                <w:sz w:val="21"/>
                <w:szCs w:val="21"/>
              </w:rPr>
              <w:t>新建管网1</w:t>
            </w:r>
            <w:r>
              <w:rPr>
                <w:color w:val="auto"/>
                <w:sz w:val="21"/>
                <w:szCs w:val="21"/>
              </w:rPr>
              <w:t>2952m</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jc w:val="center"/>
              <w:rPr>
                <w:bCs/>
                <w:color w:val="auto"/>
                <w:sz w:val="21"/>
                <w:szCs w:val="21"/>
              </w:rPr>
            </w:pPr>
            <w:r>
              <w:rPr>
                <w:bCs/>
                <w:color w:val="auto"/>
                <w:sz w:val="21"/>
                <w:szCs w:val="21"/>
              </w:rPr>
              <w:t>施工生产区</w:t>
            </w:r>
          </w:p>
        </w:tc>
        <w:tc>
          <w:tcPr>
            <w:tcW w:w="7200" w:type="dxa"/>
            <w:gridSpan w:val="14"/>
            <w:vAlign w:val="center"/>
          </w:tcPr>
          <w:p>
            <w:pPr>
              <w:pStyle w:val="11"/>
              <w:adjustRightInd w:val="0"/>
              <w:snapToGrid w:val="0"/>
              <w:spacing w:after="0"/>
              <w:contextualSpacing/>
              <w:jc w:val="left"/>
              <w:rPr>
                <w:color w:val="auto"/>
                <w:sz w:val="21"/>
                <w:szCs w:val="21"/>
              </w:rPr>
            </w:pPr>
            <w:r>
              <w:rPr>
                <w:rFonts w:hint="eastAsia"/>
                <w:color w:val="auto"/>
                <w:sz w:val="21"/>
                <w:szCs w:val="21"/>
              </w:rPr>
              <w:t>本项目共布设两块施工生产区，</w:t>
            </w:r>
            <w:r>
              <w:rPr>
                <w:color w:val="auto"/>
                <w:sz w:val="21"/>
                <w:szCs w:val="21"/>
              </w:rPr>
              <w:t>用于存放设备和材料等</w:t>
            </w:r>
            <w:r>
              <w:rPr>
                <w:rFonts w:hint="eastAsia"/>
                <w:color w:val="auto"/>
                <w:sz w:val="21"/>
                <w:szCs w:val="21"/>
              </w:rPr>
              <w:t>，</w:t>
            </w:r>
            <w:r>
              <w:rPr>
                <w:color w:val="auto"/>
                <w:sz w:val="21"/>
                <w:szCs w:val="21"/>
              </w:rPr>
              <w:t>位于</w:t>
            </w:r>
            <w:r>
              <w:rPr>
                <w:rFonts w:hint="eastAsia"/>
                <w:color w:val="auto"/>
                <w:sz w:val="21"/>
                <w:szCs w:val="21"/>
              </w:rPr>
              <w:t>综合楼南侧及预处理池北侧</w:t>
            </w:r>
            <w:r>
              <w:rPr>
                <w:color w:val="auto"/>
                <w:sz w:val="21"/>
                <w:szCs w:val="21"/>
              </w:rPr>
              <w:t>，</w:t>
            </w:r>
            <w:r>
              <w:rPr>
                <w:rFonts w:hint="eastAsia"/>
                <w:color w:val="auto"/>
                <w:sz w:val="21"/>
                <w:szCs w:val="21"/>
              </w:rPr>
              <w:t>临时占用道路地面硬化区和绿化区，</w:t>
            </w:r>
            <w:r>
              <w:rPr>
                <w:color w:val="auto"/>
                <w:sz w:val="21"/>
                <w:szCs w:val="21"/>
              </w:rPr>
              <w:t>面积</w:t>
            </w:r>
            <w:r>
              <w:rPr>
                <w:rFonts w:hint="eastAsia"/>
                <w:color w:val="auto"/>
                <w:sz w:val="21"/>
                <w:szCs w:val="21"/>
              </w:rPr>
              <w:t>约</w:t>
            </w:r>
            <w:r>
              <w:rPr>
                <w:color w:val="auto"/>
                <w:sz w:val="21"/>
                <w:szCs w:val="21"/>
              </w:rPr>
              <w:t>0.10hm</w:t>
            </w:r>
            <w:r>
              <w:rPr>
                <w:color w:val="auto"/>
                <w:sz w:val="21"/>
                <w:szCs w:val="21"/>
                <w:vertAlign w:val="superscript"/>
              </w:rPr>
              <w:t>2</w:t>
            </w:r>
            <w:r>
              <w:rPr>
                <w:color w:val="auto"/>
                <w:sz w:val="21"/>
                <w:szCs w:val="21"/>
              </w:rPr>
              <w:t>，</w:t>
            </w:r>
            <w:r>
              <w:rPr>
                <w:rFonts w:hint="eastAsia"/>
                <w:color w:val="auto"/>
                <w:sz w:val="21"/>
                <w:szCs w:val="21"/>
              </w:rPr>
              <w:t>属重复占地</w:t>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37" w:type="dxa"/>
            <w:gridSpan w:val="15"/>
            <w:vAlign w:val="center"/>
          </w:tcPr>
          <w:p>
            <w:pPr>
              <w:pStyle w:val="11"/>
              <w:adjustRightInd w:val="0"/>
              <w:snapToGrid w:val="0"/>
              <w:spacing w:after="0"/>
              <w:contextualSpacing/>
              <w:jc w:val="center"/>
              <w:rPr>
                <w:color w:val="auto"/>
                <w:sz w:val="21"/>
                <w:szCs w:val="21"/>
              </w:rPr>
            </w:pPr>
            <w:r>
              <w:rPr>
                <w:color w:val="auto"/>
                <w:sz w:val="21"/>
                <w:szCs w:val="21"/>
              </w:rPr>
              <w:t>三、拆迁及施工条件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rPr>
                <w:bCs/>
                <w:color w:val="auto"/>
                <w:sz w:val="21"/>
                <w:szCs w:val="21"/>
              </w:rPr>
            </w:pPr>
            <w:r>
              <w:rPr>
                <w:bCs/>
                <w:color w:val="auto"/>
                <w:sz w:val="21"/>
                <w:szCs w:val="21"/>
              </w:rPr>
              <w:t>施工用水</w:t>
            </w:r>
          </w:p>
        </w:tc>
        <w:tc>
          <w:tcPr>
            <w:tcW w:w="7200" w:type="dxa"/>
            <w:gridSpan w:val="14"/>
            <w:vAlign w:val="center"/>
          </w:tcPr>
          <w:p>
            <w:pPr>
              <w:pStyle w:val="11"/>
              <w:adjustRightInd w:val="0"/>
              <w:snapToGrid w:val="0"/>
              <w:spacing w:after="0"/>
              <w:contextualSpacing/>
              <w:rPr>
                <w:bCs/>
                <w:color w:val="auto"/>
                <w:sz w:val="21"/>
                <w:szCs w:val="21"/>
              </w:rPr>
            </w:pPr>
            <w:r>
              <w:rPr>
                <w:bCs/>
                <w:color w:val="auto"/>
                <w:sz w:val="21"/>
                <w:szCs w:val="21"/>
              </w:rPr>
              <w:t>主体施工用水取自</w:t>
            </w:r>
            <w:r>
              <w:rPr>
                <w:rFonts w:hint="eastAsia"/>
                <w:bCs/>
                <w:color w:val="auto"/>
                <w:sz w:val="21"/>
                <w:szCs w:val="21"/>
              </w:rPr>
              <w:t>园区内</w:t>
            </w:r>
            <w:r>
              <w:rPr>
                <w:bCs/>
                <w:color w:val="auto"/>
                <w:sz w:val="21"/>
                <w:szCs w:val="21"/>
              </w:rPr>
              <w:t>给水管网。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rPr>
                <w:bCs/>
                <w:color w:val="auto"/>
                <w:sz w:val="21"/>
                <w:szCs w:val="21"/>
              </w:rPr>
            </w:pPr>
            <w:r>
              <w:rPr>
                <w:bCs/>
                <w:color w:val="auto"/>
                <w:sz w:val="21"/>
                <w:szCs w:val="21"/>
              </w:rPr>
              <w:t>施工用电</w:t>
            </w:r>
          </w:p>
        </w:tc>
        <w:tc>
          <w:tcPr>
            <w:tcW w:w="7200" w:type="dxa"/>
            <w:gridSpan w:val="14"/>
            <w:vAlign w:val="center"/>
          </w:tcPr>
          <w:p>
            <w:pPr>
              <w:pStyle w:val="11"/>
              <w:adjustRightInd w:val="0"/>
              <w:snapToGrid w:val="0"/>
              <w:spacing w:after="0"/>
              <w:contextualSpacing/>
              <w:rPr>
                <w:bCs/>
                <w:color w:val="auto"/>
                <w:sz w:val="21"/>
                <w:szCs w:val="21"/>
              </w:rPr>
            </w:pPr>
            <w:r>
              <w:rPr>
                <w:bCs/>
                <w:color w:val="auto"/>
                <w:sz w:val="21"/>
                <w:szCs w:val="21"/>
              </w:rPr>
              <w:t>施工用电</w:t>
            </w:r>
            <w:r>
              <w:rPr>
                <w:rFonts w:hint="eastAsia"/>
                <w:bCs/>
                <w:color w:val="auto"/>
                <w:sz w:val="21"/>
                <w:szCs w:val="21"/>
              </w:rPr>
              <w:t>从园区内引入。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rPr>
                <w:bCs/>
                <w:color w:val="auto"/>
                <w:sz w:val="21"/>
                <w:szCs w:val="21"/>
              </w:rPr>
            </w:pPr>
            <w:r>
              <w:rPr>
                <w:bCs/>
                <w:color w:val="auto"/>
                <w:sz w:val="21"/>
                <w:szCs w:val="21"/>
              </w:rPr>
              <w:t>施工通讯</w:t>
            </w:r>
          </w:p>
        </w:tc>
        <w:tc>
          <w:tcPr>
            <w:tcW w:w="7200" w:type="dxa"/>
            <w:gridSpan w:val="14"/>
            <w:vAlign w:val="center"/>
          </w:tcPr>
          <w:p>
            <w:pPr>
              <w:pStyle w:val="11"/>
              <w:adjustRightInd w:val="0"/>
              <w:snapToGrid w:val="0"/>
              <w:spacing w:after="0"/>
              <w:contextualSpacing/>
              <w:rPr>
                <w:bCs/>
                <w:color w:val="auto"/>
                <w:sz w:val="21"/>
                <w:szCs w:val="21"/>
              </w:rPr>
            </w:pPr>
            <w:r>
              <w:rPr>
                <w:bCs/>
                <w:color w:val="auto"/>
                <w:sz w:val="21"/>
                <w:szCs w:val="21"/>
              </w:rPr>
              <w:t>采用对讲机或移动电话联络业务，指挥施工。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rPr>
                <w:bCs/>
                <w:color w:val="auto"/>
                <w:sz w:val="21"/>
                <w:szCs w:val="21"/>
              </w:rPr>
            </w:pPr>
            <w:r>
              <w:rPr>
                <w:bCs/>
                <w:color w:val="auto"/>
                <w:sz w:val="21"/>
                <w:szCs w:val="21"/>
              </w:rPr>
              <w:t>建筑材料</w:t>
            </w:r>
          </w:p>
        </w:tc>
        <w:tc>
          <w:tcPr>
            <w:tcW w:w="7200" w:type="dxa"/>
            <w:gridSpan w:val="14"/>
            <w:vAlign w:val="center"/>
          </w:tcPr>
          <w:p>
            <w:pPr>
              <w:pStyle w:val="11"/>
              <w:adjustRightInd w:val="0"/>
              <w:snapToGrid w:val="0"/>
              <w:spacing w:after="0"/>
              <w:contextualSpacing/>
              <w:rPr>
                <w:bCs/>
                <w:color w:val="auto"/>
                <w:sz w:val="21"/>
                <w:szCs w:val="21"/>
              </w:rPr>
            </w:pPr>
            <w:r>
              <w:rPr>
                <w:bCs/>
                <w:color w:val="auto"/>
                <w:sz w:val="21"/>
                <w:szCs w:val="21"/>
              </w:rPr>
              <w:t>从当地合法企业商购，防治责任由供方负责。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37" w:type="dxa"/>
            <w:vAlign w:val="center"/>
          </w:tcPr>
          <w:p>
            <w:pPr>
              <w:pStyle w:val="11"/>
              <w:adjustRightInd w:val="0"/>
              <w:snapToGrid w:val="0"/>
              <w:spacing w:after="0"/>
              <w:contextualSpacing/>
              <w:rPr>
                <w:bCs/>
                <w:color w:val="auto"/>
                <w:sz w:val="21"/>
                <w:szCs w:val="21"/>
              </w:rPr>
            </w:pPr>
            <w:r>
              <w:rPr>
                <w:bCs/>
                <w:color w:val="auto"/>
                <w:sz w:val="21"/>
                <w:szCs w:val="21"/>
              </w:rPr>
              <w:t>拆迁安置</w:t>
            </w:r>
          </w:p>
        </w:tc>
        <w:tc>
          <w:tcPr>
            <w:tcW w:w="7200" w:type="dxa"/>
            <w:gridSpan w:val="14"/>
            <w:vAlign w:val="center"/>
          </w:tcPr>
          <w:p>
            <w:pPr>
              <w:pStyle w:val="11"/>
              <w:adjustRightInd w:val="0"/>
              <w:snapToGrid w:val="0"/>
              <w:spacing w:after="0"/>
              <w:contextualSpacing/>
              <w:rPr>
                <w:bCs/>
                <w:color w:val="auto"/>
                <w:sz w:val="21"/>
                <w:szCs w:val="21"/>
              </w:rPr>
            </w:pPr>
            <w:r>
              <w:rPr>
                <w:bCs/>
                <w:color w:val="auto"/>
                <w:sz w:val="21"/>
                <w:szCs w:val="21"/>
              </w:rPr>
              <w:t>无拆迁安置工作。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37" w:type="dxa"/>
            <w:gridSpan w:val="15"/>
            <w:vAlign w:val="center"/>
          </w:tcPr>
          <w:p>
            <w:pPr>
              <w:pStyle w:val="11"/>
              <w:adjustRightInd w:val="0"/>
              <w:snapToGrid w:val="0"/>
              <w:spacing w:after="0"/>
              <w:contextualSpacing/>
              <w:jc w:val="center"/>
              <w:rPr>
                <w:bCs/>
                <w:color w:val="auto"/>
                <w:sz w:val="21"/>
                <w:szCs w:val="21"/>
              </w:rPr>
            </w:pPr>
            <w:r>
              <w:rPr>
                <w:bCs/>
                <w:color w:val="auto"/>
                <w:sz w:val="21"/>
                <w:szCs w:val="21"/>
              </w:rPr>
              <w:t>四、</w:t>
            </w:r>
            <w:r>
              <w:rPr>
                <w:color w:val="auto"/>
                <w:sz w:val="21"/>
                <w:szCs w:val="21"/>
              </w:rPr>
              <w:t>工程占地情况(hm</w:t>
            </w:r>
            <w:r>
              <w:rPr>
                <w:color w:val="auto"/>
                <w:sz w:val="21"/>
                <w:szCs w:val="21"/>
                <w:vertAlign w:val="superscript"/>
              </w:rPr>
              <w:t>2</w:t>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adjustRightInd w:val="0"/>
              <w:snapToGrid w:val="0"/>
              <w:contextualSpacing/>
              <w:jc w:val="center"/>
              <w:rPr>
                <w:color w:val="auto"/>
                <w:sz w:val="21"/>
                <w:szCs w:val="21"/>
              </w:rPr>
            </w:pPr>
            <w:r>
              <w:rPr>
                <w:color w:val="auto"/>
                <w:sz w:val="21"/>
                <w:szCs w:val="21"/>
              </w:rPr>
              <w:t>项目名称</w:t>
            </w:r>
          </w:p>
        </w:tc>
        <w:tc>
          <w:tcPr>
            <w:tcW w:w="1749" w:type="dxa"/>
            <w:gridSpan w:val="3"/>
            <w:vAlign w:val="center"/>
          </w:tcPr>
          <w:p>
            <w:pPr>
              <w:adjustRightInd w:val="0"/>
              <w:snapToGrid w:val="0"/>
              <w:contextualSpacing/>
              <w:jc w:val="center"/>
              <w:rPr>
                <w:color w:val="auto"/>
                <w:sz w:val="21"/>
                <w:szCs w:val="21"/>
              </w:rPr>
            </w:pPr>
            <w:r>
              <w:rPr>
                <w:color w:val="auto"/>
                <w:sz w:val="21"/>
                <w:szCs w:val="21"/>
              </w:rPr>
              <w:t>小计</w:t>
            </w:r>
          </w:p>
        </w:tc>
        <w:tc>
          <w:tcPr>
            <w:tcW w:w="2148" w:type="dxa"/>
            <w:gridSpan w:val="6"/>
            <w:vAlign w:val="center"/>
          </w:tcPr>
          <w:p>
            <w:pPr>
              <w:adjustRightInd w:val="0"/>
              <w:snapToGrid w:val="0"/>
              <w:contextualSpacing/>
              <w:jc w:val="center"/>
              <w:rPr>
                <w:color w:val="auto"/>
                <w:sz w:val="21"/>
                <w:szCs w:val="21"/>
              </w:rPr>
            </w:pPr>
            <w:r>
              <w:rPr>
                <w:color w:val="auto"/>
                <w:sz w:val="21"/>
                <w:szCs w:val="21"/>
              </w:rPr>
              <w:t>永久占地</w:t>
            </w:r>
          </w:p>
        </w:tc>
        <w:tc>
          <w:tcPr>
            <w:tcW w:w="2480" w:type="dxa"/>
            <w:gridSpan w:val="3"/>
            <w:vAlign w:val="center"/>
          </w:tcPr>
          <w:p>
            <w:pPr>
              <w:adjustRightInd w:val="0"/>
              <w:snapToGrid w:val="0"/>
              <w:contextualSpacing/>
              <w:jc w:val="center"/>
              <w:rPr>
                <w:color w:val="auto"/>
                <w:sz w:val="21"/>
                <w:szCs w:val="21"/>
              </w:rPr>
            </w:pPr>
            <w:r>
              <w:rPr>
                <w:color w:val="auto"/>
                <w:sz w:val="21"/>
                <w:szCs w:val="21"/>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建构筑物区</w:t>
            </w:r>
          </w:p>
        </w:tc>
        <w:tc>
          <w:tcPr>
            <w:tcW w:w="1749" w:type="dxa"/>
            <w:gridSpan w:val="3"/>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.82</w:t>
            </w:r>
          </w:p>
        </w:tc>
        <w:tc>
          <w:tcPr>
            <w:tcW w:w="2148" w:type="dxa"/>
            <w:gridSpan w:val="6"/>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.82</w:t>
            </w:r>
          </w:p>
        </w:tc>
        <w:tc>
          <w:tcPr>
            <w:tcW w:w="2480" w:type="dxa"/>
            <w:gridSpan w:val="3"/>
            <w:vAlign w:val="center"/>
          </w:tcPr>
          <w:p>
            <w:pPr>
              <w:contextualSpacing/>
              <w:jc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道路</w:t>
            </w:r>
            <w:r>
              <w:rPr>
                <w:rFonts w:hint="eastAsia"/>
                <w:bCs/>
                <w:color w:val="auto"/>
                <w:sz w:val="21"/>
                <w:szCs w:val="21"/>
              </w:rPr>
              <w:t>地面</w:t>
            </w:r>
            <w:r>
              <w:rPr>
                <w:bCs/>
                <w:color w:val="auto"/>
                <w:sz w:val="21"/>
                <w:szCs w:val="21"/>
              </w:rPr>
              <w:t>硬化区</w:t>
            </w:r>
          </w:p>
        </w:tc>
        <w:tc>
          <w:tcPr>
            <w:tcW w:w="1749" w:type="dxa"/>
            <w:gridSpan w:val="3"/>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.58</w:t>
            </w:r>
          </w:p>
        </w:tc>
        <w:tc>
          <w:tcPr>
            <w:tcW w:w="2148" w:type="dxa"/>
            <w:gridSpan w:val="6"/>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.58</w:t>
            </w:r>
          </w:p>
        </w:tc>
        <w:tc>
          <w:tcPr>
            <w:tcW w:w="2480" w:type="dxa"/>
            <w:gridSpan w:val="3"/>
            <w:vAlign w:val="center"/>
          </w:tcPr>
          <w:p>
            <w:pPr>
              <w:contextualSpacing/>
              <w:jc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绿化区</w:t>
            </w:r>
          </w:p>
        </w:tc>
        <w:tc>
          <w:tcPr>
            <w:tcW w:w="1749" w:type="dxa"/>
            <w:gridSpan w:val="3"/>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.60</w:t>
            </w:r>
          </w:p>
        </w:tc>
        <w:tc>
          <w:tcPr>
            <w:tcW w:w="2148" w:type="dxa"/>
            <w:gridSpan w:val="6"/>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.60</w:t>
            </w:r>
          </w:p>
        </w:tc>
        <w:tc>
          <w:tcPr>
            <w:tcW w:w="2480" w:type="dxa"/>
            <w:gridSpan w:val="3"/>
            <w:vAlign w:val="center"/>
          </w:tcPr>
          <w:p>
            <w:pPr>
              <w:contextualSpacing/>
              <w:jc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工业园区管网区</w:t>
            </w:r>
          </w:p>
        </w:tc>
        <w:tc>
          <w:tcPr>
            <w:tcW w:w="1749" w:type="dxa"/>
            <w:gridSpan w:val="3"/>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.19</w:t>
            </w:r>
          </w:p>
        </w:tc>
        <w:tc>
          <w:tcPr>
            <w:tcW w:w="2148" w:type="dxa"/>
            <w:gridSpan w:val="6"/>
            <w:vAlign w:val="center"/>
          </w:tcPr>
          <w:p>
            <w:pPr>
              <w:widowControl/>
              <w:contextualSpacing/>
              <w:jc w:val="center"/>
              <w:textAlignment w:val="center"/>
              <w:rPr>
                <w:color w:val="auto"/>
                <w:sz w:val="22"/>
                <w:szCs w:val="22"/>
              </w:rPr>
            </w:pPr>
            <w:r>
              <w:rPr>
                <w:rFonts w:hint="eastAsia"/>
                <w:color w:val="auto"/>
                <w:sz w:val="22"/>
                <w:szCs w:val="22"/>
              </w:rPr>
              <w:t>0</w:t>
            </w:r>
          </w:p>
        </w:tc>
        <w:tc>
          <w:tcPr>
            <w:tcW w:w="2480" w:type="dxa"/>
            <w:gridSpan w:val="3"/>
            <w:vAlign w:val="center"/>
          </w:tcPr>
          <w:p>
            <w:pPr>
              <w:contextualSpacing/>
              <w:jc w:val="center"/>
              <w:rPr>
                <w:bCs/>
                <w:color w:val="auto"/>
                <w:sz w:val="21"/>
                <w:szCs w:val="21"/>
              </w:rPr>
            </w:pPr>
            <w:r>
              <w:rPr>
                <w:rFonts w:hint="eastAsia"/>
                <w:bCs/>
                <w:color w:val="auto"/>
                <w:sz w:val="21"/>
                <w:szCs w:val="21"/>
              </w:rPr>
              <w:t>1</w:t>
            </w:r>
            <w:r>
              <w:rPr>
                <w:bCs/>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施工生产区</w:t>
            </w:r>
          </w:p>
        </w:tc>
        <w:tc>
          <w:tcPr>
            <w:tcW w:w="1749" w:type="dxa"/>
            <w:gridSpan w:val="3"/>
            <w:vAlign w:val="center"/>
          </w:tcPr>
          <w:p>
            <w:pPr>
              <w:widowControl/>
              <w:contextualSpacing/>
              <w:jc w:val="center"/>
              <w:textAlignment w:val="center"/>
              <w:rPr>
                <w:color w:val="auto"/>
                <w:sz w:val="22"/>
                <w:szCs w:val="22"/>
              </w:rPr>
            </w:pPr>
            <w:r>
              <w:rPr>
                <w:rFonts w:hint="eastAsia"/>
                <w:color w:val="auto"/>
                <w:sz w:val="22"/>
                <w:szCs w:val="22"/>
              </w:rPr>
              <w:t>（0</w:t>
            </w:r>
            <w:r>
              <w:rPr>
                <w:color w:val="auto"/>
                <w:sz w:val="22"/>
                <w:szCs w:val="22"/>
              </w:rPr>
              <w:t>.10</w:t>
            </w:r>
            <w:r>
              <w:rPr>
                <w:rFonts w:hint="eastAsia"/>
                <w:color w:val="auto"/>
                <w:sz w:val="22"/>
                <w:szCs w:val="22"/>
              </w:rPr>
              <w:t>）</w:t>
            </w:r>
          </w:p>
        </w:tc>
        <w:tc>
          <w:tcPr>
            <w:tcW w:w="2148" w:type="dxa"/>
            <w:gridSpan w:val="6"/>
            <w:vAlign w:val="center"/>
          </w:tcPr>
          <w:p>
            <w:pPr>
              <w:widowControl/>
              <w:contextualSpacing/>
              <w:jc w:val="center"/>
              <w:textAlignment w:val="center"/>
              <w:rPr>
                <w:color w:val="auto"/>
                <w:sz w:val="22"/>
                <w:szCs w:val="22"/>
              </w:rPr>
            </w:pPr>
            <w:r>
              <w:rPr>
                <w:rFonts w:hint="eastAsia"/>
                <w:color w:val="auto"/>
                <w:sz w:val="22"/>
                <w:szCs w:val="22"/>
              </w:rPr>
              <w:t>（0</w:t>
            </w:r>
            <w:r>
              <w:rPr>
                <w:color w:val="auto"/>
                <w:sz w:val="22"/>
                <w:szCs w:val="22"/>
              </w:rPr>
              <w:t>.10</w:t>
            </w:r>
            <w:r>
              <w:rPr>
                <w:rFonts w:hint="eastAsia"/>
                <w:color w:val="auto"/>
                <w:sz w:val="22"/>
                <w:szCs w:val="22"/>
              </w:rPr>
              <w:t>）</w:t>
            </w:r>
          </w:p>
        </w:tc>
        <w:tc>
          <w:tcPr>
            <w:tcW w:w="2480" w:type="dxa"/>
            <w:gridSpan w:val="3"/>
            <w:vAlign w:val="center"/>
          </w:tcPr>
          <w:p>
            <w:pPr>
              <w:contextualSpacing/>
              <w:jc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合计</w:t>
            </w:r>
          </w:p>
        </w:tc>
        <w:tc>
          <w:tcPr>
            <w:tcW w:w="1749" w:type="dxa"/>
            <w:gridSpan w:val="3"/>
            <w:vAlign w:val="center"/>
          </w:tcPr>
          <w:p>
            <w:pPr>
              <w:widowControl/>
              <w:contextualSpacing/>
              <w:jc w:val="center"/>
              <w:textAlignment w:val="center"/>
              <w:rPr>
                <w:color w:val="auto"/>
                <w:sz w:val="22"/>
                <w:szCs w:val="22"/>
              </w:rPr>
            </w:pPr>
            <w:r>
              <w:rPr>
                <w:rFonts w:hint="eastAsia"/>
                <w:b/>
                <w:bCs/>
                <w:color w:val="auto"/>
                <w:sz w:val="22"/>
                <w:szCs w:val="22"/>
              </w:rPr>
              <w:t>4</w:t>
            </w:r>
            <w:r>
              <w:rPr>
                <w:b/>
                <w:bCs/>
                <w:color w:val="auto"/>
                <w:sz w:val="22"/>
                <w:szCs w:val="22"/>
              </w:rPr>
              <w:t>.19</w:t>
            </w:r>
          </w:p>
        </w:tc>
        <w:tc>
          <w:tcPr>
            <w:tcW w:w="2148" w:type="dxa"/>
            <w:gridSpan w:val="6"/>
            <w:vAlign w:val="center"/>
          </w:tcPr>
          <w:p>
            <w:pPr>
              <w:widowControl/>
              <w:contextualSpacing/>
              <w:jc w:val="center"/>
              <w:textAlignment w:val="center"/>
              <w:rPr>
                <w:b/>
                <w:bCs/>
                <w:color w:val="auto"/>
                <w:sz w:val="22"/>
                <w:szCs w:val="22"/>
              </w:rPr>
            </w:pPr>
            <w:r>
              <w:rPr>
                <w:b/>
                <w:bCs/>
                <w:color w:val="auto"/>
                <w:sz w:val="22"/>
                <w:szCs w:val="22"/>
              </w:rPr>
              <w:t>3.00</w:t>
            </w:r>
          </w:p>
        </w:tc>
        <w:tc>
          <w:tcPr>
            <w:tcW w:w="2480" w:type="dxa"/>
            <w:gridSpan w:val="3"/>
            <w:vAlign w:val="center"/>
          </w:tcPr>
          <w:p>
            <w:pPr>
              <w:widowControl/>
              <w:contextualSpacing/>
              <w:jc w:val="center"/>
              <w:textAlignment w:val="center"/>
              <w:rPr>
                <w:b/>
                <w:bCs/>
                <w:color w:val="auto"/>
                <w:sz w:val="21"/>
                <w:szCs w:val="21"/>
              </w:rPr>
            </w:pPr>
            <w:r>
              <w:rPr>
                <w:b/>
                <w:bCs/>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37" w:type="dxa"/>
            <w:gridSpan w:val="15"/>
            <w:vAlign w:val="center"/>
          </w:tcPr>
          <w:p>
            <w:pPr>
              <w:pStyle w:val="11"/>
              <w:adjustRightInd w:val="0"/>
              <w:snapToGrid w:val="0"/>
              <w:spacing w:after="0"/>
              <w:contextualSpacing/>
              <w:jc w:val="center"/>
              <w:rPr>
                <w:bCs/>
                <w:color w:val="auto"/>
                <w:sz w:val="21"/>
                <w:szCs w:val="21"/>
              </w:rPr>
            </w:pPr>
            <w:r>
              <w:rPr>
                <w:color w:val="auto"/>
                <w:sz w:val="21"/>
                <w:szCs w:val="21"/>
              </w:rPr>
              <w:t>五、项目土石方工程量(单位：</w:t>
            </w:r>
            <w:r>
              <w:rPr>
                <w:rFonts w:hint="eastAsia"/>
                <w:color w:val="auto"/>
                <w:sz w:val="21"/>
                <w:szCs w:val="21"/>
              </w:rPr>
              <w:t>万</w:t>
            </w:r>
            <w:r>
              <w:rPr>
                <w:color w:val="auto"/>
                <w:sz w:val="21"/>
                <w:szCs w:val="21"/>
              </w:rPr>
              <w:t>m</w:t>
            </w:r>
            <w:r>
              <w:rPr>
                <w:color w:val="auto"/>
                <w:sz w:val="21"/>
                <w:szCs w:val="21"/>
                <w:vertAlign w:val="superscript"/>
              </w:rPr>
              <w:t>3</w:t>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92" w:type="dxa"/>
            <w:gridSpan w:val="2"/>
            <w:vAlign w:val="center"/>
          </w:tcPr>
          <w:p>
            <w:pPr>
              <w:adjustRightInd w:val="0"/>
              <w:snapToGrid w:val="0"/>
              <w:contextualSpacing/>
              <w:jc w:val="center"/>
              <w:rPr>
                <w:bCs/>
                <w:color w:val="auto"/>
                <w:sz w:val="21"/>
                <w:szCs w:val="21"/>
              </w:rPr>
            </w:pPr>
            <w:r>
              <w:rPr>
                <w:color w:val="auto"/>
                <w:sz w:val="21"/>
                <w:szCs w:val="21"/>
              </w:rPr>
              <w:t>项目区</w:t>
            </w:r>
          </w:p>
        </w:tc>
        <w:tc>
          <w:tcPr>
            <w:tcW w:w="1344" w:type="dxa"/>
            <w:gridSpan w:val="3"/>
            <w:vAlign w:val="center"/>
          </w:tcPr>
          <w:p>
            <w:pPr>
              <w:adjustRightInd w:val="0"/>
              <w:snapToGrid w:val="0"/>
              <w:contextualSpacing/>
              <w:jc w:val="center"/>
              <w:rPr>
                <w:bCs/>
                <w:color w:val="auto"/>
                <w:sz w:val="21"/>
                <w:szCs w:val="21"/>
              </w:rPr>
            </w:pPr>
            <w:r>
              <w:rPr>
                <w:color w:val="auto"/>
                <w:sz w:val="21"/>
                <w:szCs w:val="21"/>
              </w:rPr>
              <w:t>开挖</w:t>
            </w:r>
          </w:p>
        </w:tc>
        <w:tc>
          <w:tcPr>
            <w:tcW w:w="1002" w:type="dxa"/>
            <w:gridSpan w:val="2"/>
            <w:vAlign w:val="center"/>
          </w:tcPr>
          <w:p>
            <w:pPr>
              <w:adjustRightInd w:val="0"/>
              <w:snapToGrid w:val="0"/>
              <w:contextualSpacing/>
              <w:jc w:val="center"/>
              <w:rPr>
                <w:bCs/>
                <w:color w:val="auto"/>
                <w:sz w:val="21"/>
                <w:szCs w:val="21"/>
              </w:rPr>
            </w:pPr>
            <w:r>
              <w:rPr>
                <w:color w:val="auto"/>
                <w:sz w:val="21"/>
                <w:szCs w:val="21"/>
              </w:rPr>
              <w:t>回填</w:t>
            </w:r>
          </w:p>
        </w:tc>
        <w:tc>
          <w:tcPr>
            <w:tcW w:w="1031" w:type="dxa"/>
            <w:gridSpan w:val="3"/>
            <w:vAlign w:val="center"/>
          </w:tcPr>
          <w:p>
            <w:pPr>
              <w:adjustRightInd w:val="0"/>
              <w:snapToGrid w:val="0"/>
              <w:contextualSpacing/>
              <w:jc w:val="center"/>
              <w:rPr>
                <w:bCs/>
                <w:color w:val="auto"/>
                <w:sz w:val="21"/>
                <w:szCs w:val="21"/>
              </w:rPr>
            </w:pPr>
            <w:r>
              <w:rPr>
                <w:color w:val="auto"/>
                <w:sz w:val="21"/>
                <w:szCs w:val="21"/>
              </w:rPr>
              <w:t>调入</w:t>
            </w:r>
          </w:p>
        </w:tc>
        <w:tc>
          <w:tcPr>
            <w:tcW w:w="1028" w:type="dxa"/>
            <w:gridSpan w:val="3"/>
            <w:vAlign w:val="center"/>
          </w:tcPr>
          <w:p>
            <w:pPr>
              <w:adjustRightInd w:val="0"/>
              <w:snapToGrid w:val="0"/>
              <w:contextualSpacing/>
              <w:jc w:val="center"/>
              <w:rPr>
                <w:bCs/>
                <w:color w:val="auto"/>
                <w:sz w:val="21"/>
                <w:szCs w:val="21"/>
              </w:rPr>
            </w:pPr>
            <w:r>
              <w:rPr>
                <w:color w:val="auto"/>
                <w:sz w:val="21"/>
                <w:szCs w:val="21"/>
              </w:rPr>
              <w:t>调出</w:t>
            </w:r>
          </w:p>
        </w:tc>
        <w:tc>
          <w:tcPr>
            <w:tcW w:w="966" w:type="dxa"/>
            <w:vAlign w:val="center"/>
          </w:tcPr>
          <w:p>
            <w:pPr>
              <w:adjustRightInd w:val="0"/>
              <w:snapToGrid w:val="0"/>
              <w:contextualSpacing/>
              <w:jc w:val="center"/>
              <w:rPr>
                <w:bCs/>
                <w:color w:val="auto"/>
                <w:sz w:val="21"/>
                <w:szCs w:val="21"/>
              </w:rPr>
            </w:pPr>
            <w:r>
              <w:rPr>
                <w:color w:val="auto"/>
                <w:sz w:val="21"/>
                <w:szCs w:val="21"/>
              </w:rPr>
              <w:t>借方</w:t>
            </w:r>
          </w:p>
        </w:tc>
        <w:tc>
          <w:tcPr>
            <w:tcW w:w="1274" w:type="dxa"/>
            <w:vAlign w:val="center"/>
          </w:tcPr>
          <w:p>
            <w:pPr>
              <w:adjustRightInd w:val="0"/>
              <w:snapToGrid w:val="0"/>
              <w:contextualSpacing/>
              <w:jc w:val="center"/>
              <w:rPr>
                <w:bCs/>
                <w:color w:val="auto"/>
                <w:sz w:val="21"/>
                <w:szCs w:val="21"/>
              </w:rPr>
            </w:pPr>
            <w:r>
              <w:rPr>
                <w:color w:val="auto"/>
                <w:sz w:val="21"/>
                <w:szCs w:val="21"/>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92" w:type="dxa"/>
            <w:gridSpan w:val="2"/>
            <w:vAlign w:val="center"/>
          </w:tcPr>
          <w:p>
            <w:pPr>
              <w:pStyle w:val="11"/>
              <w:adjustRightInd w:val="0"/>
              <w:snapToGrid w:val="0"/>
              <w:spacing w:after="0"/>
              <w:contextualSpacing/>
              <w:jc w:val="center"/>
              <w:rPr>
                <w:bCs/>
                <w:color w:val="auto"/>
                <w:sz w:val="21"/>
                <w:szCs w:val="21"/>
              </w:rPr>
            </w:pPr>
            <w:r>
              <w:rPr>
                <w:bCs/>
                <w:color w:val="auto"/>
                <w:sz w:val="21"/>
                <w:szCs w:val="21"/>
              </w:rPr>
              <w:t>建构筑物区</w:t>
            </w:r>
          </w:p>
        </w:tc>
        <w:tc>
          <w:tcPr>
            <w:tcW w:w="1344" w:type="dxa"/>
            <w:gridSpan w:val="3"/>
            <w:vAlign w:val="center"/>
          </w:tcPr>
          <w:p>
            <w:pPr>
              <w:pStyle w:val="11"/>
              <w:adjustRightInd w:val="0"/>
              <w:snapToGrid w:val="0"/>
              <w:spacing w:after="0"/>
              <w:contextualSpacing/>
              <w:jc w:val="center"/>
              <w:rPr>
                <w:bCs/>
                <w:color w:val="auto"/>
                <w:sz w:val="21"/>
                <w:szCs w:val="21"/>
              </w:rPr>
            </w:pPr>
            <w:r>
              <w:rPr>
                <w:rFonts w:hint="eastAsia"/>
                <w:color w:val="auto"/>
                <w:sz w:val="21"/>
                <w:szCs w:val="21"/>
              </w:rPr>
              <w:t>0</w:t>
            </w:r>
            <w:r>
              <w:rPr>
                <w:color w:val="auto"/>
                <w:sz w:val="21"/>
                <w:szCs w:val="21"/>
              </w:rPr>
              <w:t>.32</w:t>
            </w:r>
          </w:p>
        </w:tc>
        <w:tc>
          <w:tcPr>
            <w:tcW w:w="1002" w:type="dxa"/>
            <w:gridSpan w:val="2"/>
            <w:vAlign w:val="center"/>
          </w:tcPr>
          <w:p>
            <w:pPr>
              <w:pStyle w:val="11"/>
              <w:adjustRightInd w:val="0"/>
              <w:snapToGrid w:val="0"/>
              <w:spacing w:after="0"/>
              <w:contextualSpacing/>
              <w:jc w:val="center"/>
              <w:rPr>
                <w:bCs/>
                <w:color w:val="auto"/>
                <w:sz w:val="21"/>
                <w:szCs w:val="21"/>
              </w:rPr>
            </w:pPr>
            <w:r>
              <w:rPr>
                <w:rFonts w:hint="eastAsia"/>
                <w:color w:val="auto"/>
                <w:sz w:val="21"/>
                <w:szCs w:val="21"/>
              </w:rPr>
              <w:t>0</w:t>
            </w:r>
            <w:r>
              <w:rPr>
                <w:color w:val="auto"/>
                <w:sz w:val="21"/>
                <w:szCs w:val="21"/>
              </w:rPr>
              <w:t>.26</w:t>
            </w:r>
          </w:p>
        </w:tc>
        <w:tc>
          <w:tcPr>
            <w:tcW w:w="1031"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p>
        </w:tc>
        <w:tc>
          <w:tcPr>
            <w:tcW w:w="1028"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0.06</w:t>
            </w:r>
          </w:p>
        </w:tc>
        <w:tc>
          <w:tcPr>
            <w:tcW w:w="966" w:type="dxa"/>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p>
        </w:tc>
        <w:tc>
          <w:tcPr>
            <w:tcW w:w="1274" w:type="dxa"/>
            <w:vAlign w:val="center"/>
          </w:tcPr>
          <w:p>
            <w:pPr>
              <w:contextualSpacing/>
              <w:jc w:val="center"/>
              <w:rPr>
                <w:bCs/>
                <w:color w:val="auto"/>
                <w:sz w:val="21"/>
                <w:szCs w:val="21"/>
              </w:rPr>
            </w:pPr>
            <w:r>
              <w:rPr>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92" w:type="dxa"/>
            <w:gridSpan w:val="2"/>
            <w:vAlign w:val="center"/>
          </w:tcPr>
          <w:p>
            <w:pPr>
              <w:pStyle w:val="11"/>
              <w:adjustRightInd w:val="0"/>
              <w:snapToGrid w:val="0"/>
              <w:spacing w:after="0"/>
              <w:contextualSpacing/>
              <w:jc w:val="center"/>
              <w:rPr>
                <w:bCs/>
                <w:color w:val="auto"/>
                <w:sz w:val="21"/>
                <w:szCs w:val="21"/>
              </w:rPr>
            </w:pPr>
            <w:r>
              <w:rPr>
                <w:bCs/>
                <w:color w:val="auto"/>
                <w:sz w:val="21"/>
                <w:szCs w:val="21"/>
              </w:rPr>
              <w:t>道路</w:t>
            </w:r>
            <w:r>
              <w:rPr>
                <w:rFonts w:hint="eastAsia"/>
                <w:bCs/>
                <w:color w:val="auto"/>
                <w:sz w:val="21"/>
                <w:szCs w:val="21"/>
              </w:rPr>
              <w:t>地面</w:t>
            </w:r>
            <w:r>
              <w:rPr>
                <w:bCs/>
                <w:color w:val="auto"/>
                <w:sz w:val="21"/>
                <w:szCs w:val="21"/>
              </w:rPr>
              <w:t>硬化区</w:t>
            </w:r>
          </w:p>
        </w:tc>
        <w:tc>
          <w:tcPr>
            <w:tcW w:w="1344" w:type="dxa"/>
            <w:gridSpan w:val="3"/>
            <w:vAlign w:val="center"/>
          </w:tcPr>
          <w:p>
            <w:pPr>
              <w:pStyle w:val="11"/>
              <w:adjustRightInd w:val="0"/>
              <w:snapToGrid w:val="0"/>
              <w:spacing w:after="0"/>
              <w:contextualSpacing/>
              <w:jc w:val="center"/>
              <w:rPr>
                <w:bCs/>
                <w:color w:val="auto"/>
                <w:sz w:val="21"/>
                <w:szCs w:val="21"/>
              </w:rPr>
            </w:pPr>
            <w:r>
              <w:rPr>
                <w:rFonts w:hint="eastAsia"/>
                <w:color w:val="auto"/>
                <w:sz w:val="21"/>
                <w:szCs w:val="21"/>
              </w:rPr>
              <w:t>0</w:t>
            </w:r>
          </w:p>
        </w:tc>
        <w:tc>
          <w:tcPr>
            <w:tcW w:w="1002" w:type="dxa"/>
            <w:gridSpan w:val="2"/>
            <w:vAlign w:val="center"/>
          </w:tcPr>
          <w:p>
            <w:pPr>
              <w:pStyle w:val="11"/>
              <w:adjustRightInd w:val="0"/>
              <w:snapToGrid w:val="0"/>
              <w:spacing w:after="0"/>
              <w:contextualSpacing/>
              <w:jc w:val="center"/>
              <w:rPr>
                <w:bCs/>
                <w:color w:val="auto"/>
                <w:sz w:val="21"/>
                <w:szCs w:val="21"/>
              </w:rPr>
            </w:pPr>
            <w:r>
              <w:rPr>
                <w:rFonts w:hint="eastAsia"/>
                <w:color w:val="auto"/>
                <w:sz w:val="21"/>
                <w:szCs w:val="21"/>
              </w:rPr>
              <w:t>0</w:t>
            </w:r>
            <w:r>
              <w:rPr>
                <w:color w:val="auto"/>
                <w:sz w:val="21"/>
                <w:szCs w:val="21"/>
              </w:rPr>
              <w:t>.36</w:t>
            </w:r>
          </w:p>
        </w:tc>
        <w:tc>
          <w:tcPr>
            <w:tcW w:w="1031" w:type="dxa"/>
            <w:gridSpan w:val="3"/>
            <w:vAlign w:val="center"/>
          </w:tcPr>
          <w:p>
            <w:pPr>
              <w:pStyle w:val="11"/>
              <w:adjustRightInd w:val="0"/>
              <w:snapToGrid w:val="0"/>
              <w:spacing w:after="0"/>
              <w:contextualSpacing/>
              <w:jc w:val="center"/>
              <w:rPr>
                <w:bCs/>
                <w:color w:val="auto"/>
                <w:sz w:val="21"/>
                <w:szCs w:val="21"/>
              </w:rPr>
            </w:pPr>
            <w:r>
              <w:rPr>
                <w:bCs/>
                <w:color w:val="auto"/>
                <w:sz w:val="21"/>
                <w:szCs w:val="21"/>
              </w:rPr>
              <w:t>0.</w:t>
            </w:r>
            <w:r>
              <w:rPr>
                <w:rFonts w:hint="eastAsia"/>
                <w:bCs/>
                <w:color w:val="auto"/>
                <w:sz w:val="21"/>
                <w:szCs w:val="21"/>
              </w:rPr>
              <w:t>3</w:t>
            </w:r>
            <w:r>
              <w:rPr>
                <w:bCs/>
                <w:color w:val="auto"/>
                <w:sz w:val="21"/>
                <w:szCs w:val="21"/>
              </w:rPr>
              <w:t>6</w:t>
            </w:r>
          </w:p>
        </w:tc>
        <w:tc>
          <w:tcPr>
            <w:tcW w:w="1028"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p>
        </w:tc>
        <w:tc>
          <w:tcPr>
            <w:tcW w:w="966" w:type="dxa"/>
            <w:vAlign w:val="center"/>
          </w:tcPr>
          <w:p>
            <w:pPr>
              <w:contextualSpacing/>
              <w:jc w:val="center"/>
              <w:rPr>
                <w:bCs/>
                <w:color w:val="auto"/>
                <w:sz w:val="21"/>
                <w:szCs w:val="21"/>
              </w:rPr>
            </w:pPr>
            <w:r>
              <w:rPr>
                <w:rFonts w:hint="eastAsia"/>
                <w:bCs/>
                <w:color w:val="auto"/>
                <w:sz w:val="21"/>
                <w:szCs w:val="21"/>
              </w:rPr>
              <w:t>0</w:t>
            </w:r>
          </w:p>
        </w:tc>
        <w:tc>
          <w:tcPr>
            <w:tcW w:w="1274" w:type="dxa"/>
            <w:vAlign w:val="center"/>
          </w:tcPr>
          <w:p>
            <w:pPr>
              <w:contextualSpacing/>
              <w:jc w:val="center"/>
              <w:rPr>
                <w:bCs/>
                <w:color w:val="auto"/>
                <w:sz w:val="21"/>
                <w:szCs w:val="21"/>
              </w:rPr>
            </w:pPr>
            <w:r>
              <w:rPr>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92" w:type="dxa"/>
            <w:gridSpan w:val="2"/>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绿化区</w:t>
            </w:r>
          </w:p>
        </w:tc>
        <w:tc>
          <w:tcPr>
            <w:tcW w:w="1344" w:type="dxa"/>
            <w:gridSpan w:val="3"/>
            <w:vAlign w:val="center"/>
          </w:tcPr>
          <w:p>
            <w:pPr>
              <w:pStyle w:val="11"/>
              <w:adjustRightInd w:val="0"/>
              <w:snapToGrid w:val="0"/>
              <w:spacing w:after="0"/>
              <w:contextualSpacing/>
              <w:jc w:val="center"/>
              <w:rPr>
                <w:bCs/>
                <w:color w:val="auto"/>
                <w:sz w:val="21"/>
                <w:szCs w:val="21"/>
              </w:rPr>
            </w:pPr>
            <w:r>
              <w:rPr>
                <w:rFonts w:hint="eastAsia"/>
                <w:color w:val="auto"/>
                <w:sz w:val="21"/>
                <w:szCs w:val="21"/>
              </w:rPr>
              <w:t>0</w:t>
            </w:r>
          </w:p>
        </w:tc>
        <w:tc>
          <w:tcPr>
            <w:tcW w:w="1002" w:type="dxa"/>
            <w:gridSpan w:val="2"/>
            <w:vAlign w:val="center"/>
          </w:tcPr>
          <w:p>
            <w:pPr>
              <w:pStyle w:val="11"/>
              <w:adjustRightInd w:val="0"/>
              <w:snapToGrid w:val="0"/>
              <w:spacing w:after="0"/>
              <w:contextualSpacing/>
              <w:jc w:val="center"/>
              <w:rPr>
                <w:bCs/>
                <w:color w:val="auto"/>
                <w:sz w:val="21"/>
                <w:szCs w:val="21"/>
              </w:rPr>
            </w:pPr>
            <w:r>
              <w:rPr>
                <w:rFonts w:hint="eastAsia"/>
                <w:color w:val="auto"/>
                <w:sz w:val="21"/>
                <w:szCs w:val="21"/>
              </w:rPr>
              <w:t>0</w:t>
            </w:r>
            <w:r>
              <w:rPr>
                <w:color w:val="auto"/>
                <w:sz w:val="21"/>
                <w:szCs w:val="21"/>
              </w:rPr>
              <w:t>.48</w:t>
            </w:r>
          </w:p>
        </w:tc>
        <w:tc>
          <w:tcPr>
            <w:tcW w:w="1031"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r>
              <w:rPr>
                <w:bCs/>
                <w:color w:val="auto"/>
                <w:sz w:val="21"/>
                <w:szCs w:val="21"/>
              </w:rPr>
              <w:t>.48</w:t>
            </w:r>
          </w:p>
        </w:tc>
        <w:tc>
          <w:tcPr>
            <w:tcW w:w="1028"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p>
        </w:tc>
        <w:tc>
          <w:tcPr>
            <w:tcW w:w="966" w:type="dxa"/>
            <w:vAlign w:val="center"/>
          </w:tcPr>
          <w:p>
            <w:pPr>
              <w:contextualSpacing/>
              <w:jc w:val="center"/>
              <w:rPr>
                <w:bCs/>
                <w:color w:val="auto"/>
                <w:sz w:val="21"/>
                <w:szCs w:val="21"/>
              </w:rPr>
            </w:pPr>
            <w:r>
              <w:rPr>
                <w:rFonts w:hint="eastAsia"/>
                <w:bCs/>
                <w:color w:val="auto"/>
                <w:sz w:val="21"/>
                <w:szCs w:val="21"/>
              </w:rPr>
              <w:t>0</w:t>
            </w:r>
          </w:p>
        </w:tc>
        <w:tc>
          <w:tcPr>
            <w:tcW w:w="1274" w:type="dxa"/>
            <w:vAlign w:val="center"/>
          </w:tcPr>
          <w:p>
            <w:pPr>
              <w:contextualSpacing/>
              <w:jc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92" w:type="dxa"/>
            <w:gridSpan w:val="2"/>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工业园区管网区</w:t>
            </w:r>
          </w:p>
        </w:tc>
        <w:tc>
          <w:tcPr>
            <w:tcW w:w="1344" w:type="dxa"/>
            <w:gridSpan w:val="3"/>
            <w:vAlign w:val="center"/>
          </w:tcPr>
          <w:p>
            <w:pPr>
              <w:pStyle w:val="11"/>
              <w:adjustRightInd w:val="0"/>
              <w:snapToGrid w:val="0"/>
              <w:spacing w:after="0"/>
              <w:contextualSpacing/>
              <w:jc w:val="center"/>
              <w:rPr>
                <w:bCs/>
                <w:color w:val="auto"/>
                <w:sz w:val="21"/>
                <w:szCs w:val="21"/>
              </w:rPr>
            </w:pPr>
            <w:r>
              <w:rPr>
                <w:rFonts w:hint="eastAsia"/>
                <w:color w:val="auto"/>
                <w:sz w:val="21"/>
                <w:szCs w:val="21"/>
              </w:rPr>
              <w:t>1</w:t>
            </w:r>
            <w:r>
              <w:rPr>
                <w:color w:val="auto"/>
                <w:sz w:val="21"/>
                <w:szCs w:val="21"/>
              </w:rPr>
              <w:t>.93</w:t>
            </w:r>
          </w:p>
        </w:tc>
        <w:tc>
          <w:tcPr>
            <w:tcW w:w="1002" w:type="dxa"/>
            <w:gridSpan w:val="2"/>
            <w:vAlign w:val="center"/>
          </w:tcPr>
          <w:p>
            <w:pPr>
              <w:pStyle w:val="11"/>
              <w:adjustRightInd w:val="0"/>
              <w:snapToGrid w:val="0"/>
              <w:spacing w:after="0"/>
              <w:contextualSpacing/>
              <w:jc w:val="center"/>
              <w:rPr>
                <w:bCs/>
                <w:color w:val="auto"/>
                <w:sz w:val="21"/>
                <w:szCs w:val="21"/>
              </w:rPr>
            </w:pPr>
            <w:r>
              <w:rPr>
                <w:rFonts w:hint="eastAsia"/>
                <w:color w:val="auto"/>
                <w:sz w:val="21"/>
                <w:szCs w:val="21"/>
              </w:rPr>
              <w:t>1</w:t>
            </w:r>
            <w:r>
              <w:rPr>
                <w:color w:val="auto"/>
                <w:sz w:val="21"/>
                <w:szCs w:val="21"/>
              </w:rPr>
              <w:t>.15</w:t>
            </w:r>
          </w:p>
        </w:tc>
        <w:tc>
          <w:tcPr>
            <w:tcW w:w="1031"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p>
        </w:tc>
        <w:tc>
          <w:tcPr>
            <w:tcW w:w="1028" w:type="dxa"/>
            <w:gridSpan w:val="3"/>
            <w:vAlign w:val="center"/>
          </w:tcPr>
          <w:p>
            <w:pPr>
              <w:pStyle w:val="11"/>
              <w:adjustRightInd w:val="0"/>
              <w:snapToGrid w:val="0"/>
              <w:spacing w:after="0"/>
              <w:contextualSpacing/>
              <w:jc w:val="center"/>
              <w:rPr>
                <w:bCs/>
                <w:color w:val="auto"/>
                <w:sz w:val="21"/>
                <w:szCs w:val="21"/>
              </w:rPr>
            </w:pPr>
            <w:r>
              <w:rPr>
                <w:rFonts w:hint="eastAsia"/>
                <w:bCs/>
                <w:color w:val="auto"/>
                <w:sz w:val="21"/>
                <w:szCs w:val="21"/>
              </w:rPr>
              <w:t>0</w:t>
            </w:r>
            <w:r>
              <w:rPr>
                <w:bCs/>
                <w:color w:val="auto"/>
                <w:sz w:val="21"/>
                <w:szCs w:val="21"/>
              </w:rPr>
              <w:t>.78</w:t>
            </w:r>
          </w:p>
        </w:tc>
        <w:tc>
          <w:tcPr>
            <w:tcW w:w="966" w:type="dxa"/>
            <w:vAlign w:val="center"/>
          </w:tcPr>
          <w:p>
            <w:pPr>
              <w:contextualSpacing/>
              <w:jc w:val="center"/>
              <w:rPr>
                <w:bCs/>
                <w:color w:val="auto"/>
                <w:sz w:val="21"/>
                <w:szCs w:val="21"/>
              </w:rPr>
            </w:pPr>
            <w:r>
              <w:rPr>
                <w:rFonts w:hint="eastAsia"/>
                <w:bCs/>
                <w:color w:val="auto"/>
                <w:sz w:val="21"/>
                <w:szCs w:val="21"/>
              </w:rPr>
              <w:t>0</w:t>
            </w:r>
          </w:p>
        </w:tc>
        <w:tc>
          <w:tcPr>
            <w:tcW w:w="1274" w:type="dxa"/>
            <w:vAlign w:val="center"/>
          </w:tcPr>
          <w:p>
            <w:pPr>
              <w:contextualSpacing/>
              <w:jc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92" w:type="dxa"/>
            <w:gridSpan w:val="2"/>
            <w:vAlign w:val="center"/>
          </w:tcPr>
          <w:p>
            <w:pPr>
              <w:pStyle w:val="11"/>
              <w:adjustRightInd w:val="0"/>
              <w:snapToGrid w:val="0"/>
              <w:spacing w:after="0"/>
              <w:contextualSpacing/>
              <w:jc w:val="center"/>
              <w:rPr>
                <w:bCs/>
                <w:color w:val="auto"/>
                <w:sz w:val="21"/>
                <w:szCs w:val="21"/>
              </w:rPr>
            </w:pPr>
            <w:r>
              <w:rPr>
                <w:bCs/>
                <w:color w:val="auto"/>
                <w:sz w:val="21"/>
                <w:szCs w:val="21"/>
              </w:rPr>
              <w:t>合计</w:t>
            </w:r>
          </w:p>
        </w:tc>
        <w:tc>
          <w:tcPr>
            <w:tcW w:w="1344" w:type="dxa"/>
            <w:gridSpan w:val="3"/>
            <w:vAlign w:val="center"/>
          </w:tcPr>
          <w:p>
            <w:pPr>
              <w:pStyle w:val="11"/>
              <w:adjustRightInd w:val="0"/>
              <w:snapToGrid w:val="0"/>
              <w:spacing w:after="0"/>
              <w:contextualSpacing/>
              <w:jc w:val="center"/>
              <w:rPr>
                <w:bCs/>
                <w:color w:val="auto"/>
                <w:sz w:val="21"/>
                <w:szCs w:val="21"/>
              </w:rPr>
            </w:pPr>
            <w:r>
              <w:rPr>
                <w:b/>
                <w:bCs/>
                <w:color w:val="auto"/>
                <w:sz w:val="21"/>
                <w:szCs w:val="21"/>
              </w:rPr>
              <w:t>2.25</w:t>
            </w:r>
          </w:p>
        </w:tc>
        <w:tc>
          <w:tcPr>
            <w:tcW w:w="1002" w:type="dxa"/>
            <w:gridSpan w:val="2"/>
            <w:vAlign w:val="center"/>
          </w:tcPr>
          <w:p>
            <w:pPr>
              <w:pStyle w:val="11"/>
              <w:adjustRightInd w:val="0"/>
              <w:snapToGrid w:val="0"/>
              <w:spacing w:after="0"/>
              <w:contextualSpacing/>
              <w:jc w:val="center"/>
              <w:rPr>
                <w:bCs/>
                <w:color w:val="auto"/>
                <w:sz w:val="21"/>
                <w:szCs w:val="21"/>
              </w:rPr>
            </w:pPr>
            <w:r>
              <w:rPr>
                <w:b/>
                <w:bCs/>
                <w:color w:val="auto"/>
                <w:sz w:val="21"/>
                <w:szCs w:val="21"/>
              </w:rPr>
              <w:t>2.25</w:t>
            </w:r>
          </w:p>
        </w:tc>
        <w:tc>
          <w:tcPr>
            <w:tcW w:w="1031" w:type="dxa"/>
            <w:gridSpan w:val="3"/>
            <w:vAlign w:val="center"/>
          </w:tcPr>
          <w:p>
            <w:pPr>
              <w:pStyle w:val="11"/>
              <w:adjustRightInd w:val="0"/>
              <w:snapToGrid w:val="0"/>
              <w:spacing w:after="0"/>
              <w:contextualSpacing/>
              <w:jc w:val="center"/>
              <w:rPr>
                <w:b/>
                <w:color w:val="auto"/>
                <w:sz w:val="21"/>
                <w:szCs w:val="21"/>
              </w:rPr>
            </w:pPr>
            <w:r>
              <w:rPr>
                <w:b/>
                <w:color w:val="auto"/>
                <w:sz w:val="21"/>
                <w:szCs w:val="21"/>
              </w:rPr>
              <w:t>0.84</w:t>
            </w:r>
          </w:p>
        </w:tc>
        <w:tc>
          <w:tcPr>
            <w:tcW w:w="1028" w:type="dxa"/>
            <w:gridSpan w:val="3"/>
            <w:vAlign w:val="center"/>
          </w:tcPr>
          <w:p>
            <w:pPr>
              <w:pStyle w:val="11"/>
              <w:adjustRightInd w:val="0"/>
              <w:snapToGrid w:val="0"/>
              <w:spacing w:after="0"/>
              <w:contextualSpacing/>
              <w:jc w:val="center"/>
              <w:rPr>
                <w:b/>
                <w:color w:val="auto"/>
                <w:sz w:val="21"/>
                <w:szCs w:val="21"/>
              </w:rPr>
            </w:pPr>
            <w:r>
              <w:rPr>
                <w:b/>
                <w:color w:val="auto"/>
                <w:sz w:val="21"/>
                <w:szCs w:val="21"/>
              </w:rPr>
              <w:t>0.84</w:t>
            </w:r>
          </w:p>
        </w:tc>
        <w:tc>
          <w:tcPr>
            <w:tcW w:w="966" w:type="dxa"/>
            <w:vAlign w:val="center"/>
          </w:tcPr>
          <w:p>
            <w:pPr>
              <w:contextualSpacing/>
              <w:jc w:val="center"/>
              <w:rPr>
                <w:bCs/>
                <w:color w:val="auto"/>
                <w:sz w:val="21"/>
                <w:szCs w:val="21"/>
              </w:rPr>
            </w:pPr>
            <w:r>
              <w:rPr>
                <w:rFonts w:hint="eastAsia"/>
                <w:bCs/>
                <w:color w:val="auto"/>
                <w:sz w:val="21"/>
                <w:szCs w:val="21"/>
              </w:rPr>
              <w:t>0</w:t>
            </w:r>
          </w:p>
        </w:tc>
        <w:tc>
          <w:tcPr>
            <w:tcW w:w="1274" w:type="dxa"/>
            <w:vAlign w:val="center"/>
          </w:tcPr>
          <w:p>
            <w:pPr>
              <w:contextualSpacing/>
              <w:jc w:val="center"/>
              <w:rPr>
                <w:bCs/>
                <w:color w:val="auto"/>
                <w:sz w:val="21"/>
                <w:szCs w:val="21"/>
              </w:rPr>
            </w:pPr>
            <w:r>
              <w:rPr>
                <w:bCs/>
                <w:color w:val="auto"/>
                <w:sz w:val="21"/>
                <w:szCs w:val="21"/>
              </w:rPr>
              <w:t>0</w:t>
            </w:r>
          </w:p>
        </w:tc>
      </w:tr>
    </w:tbl>
    <w:p>
      <w:pPr>
        <w:adjustRightInd w:val="0"/>
        <w:snapToGrid w:val="0"/>
        <w:spacing w:before="156" w:beforeLines="50" w:line="360" w:lineRule="auto"/>
        <w:contextualSpacing/>
        <w:outlineLvl w:val="2"/>
        <w:rPr>
          <w:b/>
          <w:bCs/>
          <w:color w:val="auto"/>
          <w:sz w:val="24"/>
        </w:rPr>
      </w:pPr>
      <w:r>
        <w:rPr>
          <w:b/>
          <w:bCs/>
          <w:color w:val="auto"/>
          <w:sz w:val="28"/>
          <w:szCs w:val="28"/>
        </w:rPr>
        <w:t>2.1.2总平面布置</w:t>
      </w:r>
    </w:p>
    <w:p>
      <w:pPr>
        <w:adjustRightInd w:val="0"/>
        <w:snapToGrid w:val="0"/>
        <w:spacing w:line="360" w:lineRule="auto"/>
        <w:ind w:firstLine="480" w:firstLineChars="200"/>
        <w:contextualSpacing/>
        <w:rPr>
          <w:color w:val="auto"/>
          <w:sz w:val="24"/>
        </w:rPr>
      </w:pPr>
      <w:r>
        <w:rPr>
          <w:rFonts w:hint="eastAsia"/>
          <w:color w:val="auto"/>
          <w:sz w:val="24"/>
        </w:rPr>
        <w:t>整个二期厂区按生产、管理等功能分为四个区，各区之间既相对独立完整，又交通联系便捷。化学处理区在厂区东南部，预处理和深度处理阶段的工艺单元和配套建、构筑物布置于此。按工艺流程顺序，包括格栅间、应急池、预处理池和石灰储仓，以及深度处理厂房；膜处理区在厂区西南部，膜预处理和膜处理阶段的工艺单元和配套建、构筑物布置于此。主要包括膜处理厂房和室外罐区；生活污水区在厂区东北部，主要包括生活污水处理厂房和污泥堆放间、危废处置间；管理区在厂区西北部，主要包括综合楼和车辆清洗、检修间、停车场等。该厂址选择地势较陡，坡向较大，本着合理平衡、减少土方量、保证场地排水顺畅的设计指导思想，按 2～4%场地找坡，厂区雨水靠场地坡度自然排出。</w:t>
      </w:r>
    </w:p>
    <w:p>
      <w:pPr>
        <w:adjustRightInd w:val="0"/>
        <w:snapToGrid w:val="0"/>
        <w:spacing w:line="360" w:lineRule="auto"/>
        <w:ind w:firstLine="480" w:firstLineChars="200"/>
        <w:contextualSpacing/>
        <w:rPr>
          <w:color w:val="auto"/>
          <w:sz w:val="24"/>
        </w:rPr>
      </w:pPr>
      <w:r>
        <w:rPr>
          <w:rFonts w:hint="eastAsia"/>
          <w:color w:val="auto"/>
          <w:sz w:val="24"/>
        </w:rPr>
        <w:t>厂区设人流出入口一个，主要物流出入口一个，位于厂区西北面；次要物流出入口一个，位于厂区东面。人流、物流分离，避免交叉，通畅便捷。</w:t>
      </w:r>
    </w:p>
    <w:p>
      <w:pPr>
        <w:adjustRightInd w:val="0"/>
        <w:snapToGrid w:val="0"/>
        <w:spacing w:line="360" w:lineRule="auto"/>
        <w:ind w:firstLine="480" w:firstLineChars="200"/>
        <w:contextualSpacing/>
        <w:rPr>
          <w:color w:val="auto"/>
          <w:sz w:val="24"/>
        </w:rPr>
      </w:pPr>
      <w:r>
        <w:rPr>
          <w:rFonts w:hint="eastAsia"/>
          <w:color w:val="auto"/>
          <w:sz w:val="24"/>
        </w:rPr>
        <w:t>各企业的工业污水排放管道独立沿规划二街敷设，汇至规划七路南侧总汇水池内，汇水池出水靠重力流排入工业污水厂格栅渠。</w:t>
      </w:r>
    </w:p>
    <w:p>
      <w:pPr>
        <w:adjustRightInd w:val="0"/>
        <w:snapToGrid w:val="0"/>
        <w:spacing w:line="360" w:lineRule="auto"/>
        <w:ind w:firstLine="480" w:firstLineChars="200"/>
        <w:contextualSpacing/>
        <w:rPr>
          <w:color w:val="auto"/>
          <w:sz w:val="24"/>
        </w:rPr>
      </w:pPr>
      <w:r>
        <w:rPr>
          <w:rFonts w:hint="eastAsia"/>
          <w:color w:val="auto"/>
          <w:sz w:val="24"/>
        </w:rPr>
        <w:t>生活污水排放管道延规划二街与规划三街布设主干管，最终汇入污水处理站。整体上规划二街以西企业，依靠地势沿街敷设支管，最终汇入规划二街干管；规划二街以东，规划三街以西企业，由西向东敷设支管，最终汇入规划三街排水干管，而后汇入污水处理站，管网布局合理，能够满足园区生活污水排放要求。</w:t>
      </w:r>
    </w:p>
    <w:p>
      <w:pPr>
        <w:adjustRightInd w:val="0"/>
        <w:snapToGrid w:val="0"/>
        <w:spacing w:line="360" w:lineRule="auto"/>
        <w:ind w:firstLine="480" w:firstLineChars="200"/>
        <w:contextualSpacing/>
        <w:rPr>
          <w:color w:val="auto"/>
          <w:sz w:val="24"/>
        </w:rPr>
      </w:pPr>
      <w:r>
        <w:rPr>
          <w:rFonts w:hint="eastAsia"/>
          <w:color w:val="auto"/>
          <w:sz w:val="24"/>
        </w:rPr>
        <w:t>产水回用由外输泵恒压输出的产水出了污水厂后，沿规划七路敷设至规划二街。在交叉口分为南、北两路。南路支管主要供应申太、金汇、国润、多凌等企业；北路支管主要工艺贝特瑞和广胜达等。</w:t>
      </w:r>
    </w:p>
    <w:p>
      <w:pPr>
        <w:adjustRightInd w:val="0"/>
        <w:snapToGrid w:val="0"/>
        <w:spacing w:line="360" w:lineRule="auto"/>
        <w:ind w:firstLine="480" w:firstLineChars="200"/>
        <w:contextualSpacing/>
        <w:rPr>
          <w:color w:val="auto"/>
          <w:sz w:val="24"/>
        </w:rPr>
      </w:pPr>
      <w:r>
        <w:rPr>
          <w:rFonts w:hint="eastAsia"/>
          <w:color w:val="auto"/>
          <w:sz w:val="24"/>
        </w:rPr>
        <w:t>浓水回用由浓水外输泵压力输出的浓水出了污水厂后跨过规划七路，沿着方虎路向北敷设，到达尾矿库的现场储存和处理设施。</w:t>
      </w:r>
    </w:p>
    <w:p>
      <w:pPr>
        <w:adjustRightInd w:val="0"/>
        <w:snapToGrid w:val="0"/>
        <w:spacing w:line="360" w:lineRule="auto"/>
        <w:contextualSpacing/>
        <w:outlineLvl w:val="2"/>
        <w:rPr>
          <w:b/>
          <w:bCs/>
          <w:color w:val="auto"/>
          <w:sz w:val="24"/>
        </w:rPr>
      </w:pPr>
      <w:r>
        <w:rPr>
          <w:b/>
          <w:bCs/>
          <w:color w:val="auto"/>
          <w:sz w:val="24"/>
        </w:rPr>
        <w:t>2.1.2.1建构筑物区</w:t>
      </w:r>
    </w:p>
    <w:p>
      <w:pPr>
        <w:adjustRightInd w:val="0"/>
        <w:snapToGrid w:val="0"/>
        <w:spacing w:line="360" w:lineRule="auto"/>
        <w:ind w:firstLine="480" w:firstLineChars="200"/>
        <w:contextualSpacing/>
        <w:rPr>
          <w:color w:val="auto"/>
          <w:sz w:val="24"/>
        </w:rPr>
      </w:pPr>
      <w:r>
        <w:rPr>
          <w:rFonts w:hint="eastAsia"/>
          <w:color w:val="auto"/>
          <w:sz w:val="24"/>
        </w:rPr>
        <w:t>项目厂区新建建筑有：格栅间、石灰仓储间、深度处理厂房、膜处理厂房、生活污水处理厂房、污泥堆放间、综合楼、车辆清洗、检修间、门卫室、地秤室等，总</w:t>
      </w:r>
      <w:r>
        <w:rPr>
          <w:color w:val="auto"/>
          <w:sz w:val="24"/>
        </w:rPr>
        <w:t>占地面积8159.02m</w:t>
      </w:r>
      <w:r>
        <w:rPr>
          <w:color w:val="auto"/>
          <w:sz w:val="24"/>
          <w:vertAlign w:val="superscript"/>
        </w:rPr>
        <w:t>2</w:t>
      </w:r>
      <w:r>
        <w:rPr>
          <w:color w:val="auto"/>
          <w:sz w:val="24"/>
        </w:rPr>
        <w:t>，</w:t>
      </w:r>
      <w:r>
        <w:rPr>
          <w:rFonts w:hint="eastAsia"/>
          <w:color w:val="auto"/>
          <w:sz w:val="24"/>
        </w:rPr>
        <w:t>总建筑面积为</w:t>
      </w:r>
      <w:r>
        <w:rPr>
          <w:color w:val="auto"/>
          <w:sz w:val="24"/>
        </w:rPr>
        <w:t>12021.46m</w:t>
      </w:r>
      <w:r>
        <w:rPr>
          <w:color w:val="auto"/>
          <w:sz w:val="24"/>
          <w:vertAlign w:val="superscript"/>
        </w:rPr>
        <w:t>2</w:t>
      </w:r>
      <w:r>
        <w:rPr>
          <w:rFonts w:hint="eastAsia"/>
          <w:color w:val="auto"/>
          <w:sz w:val="24"/>
        </w:rPr>
        <w:t>，其中计容建筑面积</w:t>
      </w:r>
      <w:r>
        <w:rPr>
          <w:color w:val="auto"/>
          <w:sz w:val="24"/>
        </w:rPr>
        <w:t>9375.85m</w:t>
      </w:r>
      <w:r>
        <w:rPr>
          <w:color w:val="auto"/>
          <w:sz w:val="24"/>
          <w:vertAlign w:val="superscript"/>
        </w:rPr>
        <w:t>2</w:t>
      </w:r>
      <w:r>
        <w:rPr>
          <w:rFonts w:hint="eastAsia"/>
          <w:color w:val="auto"/>
          <w:sz w:val="24"/>
        </w:rPr>
        <w:t>，不计容建筑面积</w:t>
      </w:r>
      <w:r>
        <w:rPr>
          <w:color w:val="auto"/>
          <w:sz w:val="24"/>
        </w:rPr>
        <w:t>2645.61m</w:t>
      </w:r>
      <w:r>
        <w:rPr>
          <w:color w:val="auto"/>
          <w:sz w:val="24"/>
          <w:vertAlign w:val="superscript"/>
        </w:rPr>
        <w:t>2</w:t>
      </w:r>
      <w:r>
        <w:rPr>
          <w:rFonts w:hint="eastAsia"/>
          <w:color w:val="auto"/>
          <w:sz w:val="24"/>
        </w:rPr>
        <w:t>，容积率为</w:t>
      </w:r>
      <w:r>
        <w:rPr>
          <w:color w:val="auto"/>
          <w:sz w:val="24"/>
        </w:rPr>
        <w:t>0.31</w:t>
      </w:r>
      <w:r>
        <w:rPr>
          <w:rFonts w:hint="eastAsia"/>
          <w:color w:val="auto"/>
          <w:sz w:val="24"/>
        </w:rPr>
        <w:t>。</w:t>
      </w:r>
    </w:p>
    <w:p>
      <w:pPr>
        <w:adjustRightInd w:val="0"/>
        <w:snapToGrid w:val="0"/>
        <w:spacing w:line="360" w:lineRule="auto"/>
        <w:ind w:firstLine="480" w:firstLineChars="200"/>
        <w:contextualSpacing/>
        <w:rPr>
          <w:color w:val="auto"/>
          <w:sz w:val="24"/>
        </w:rPr>
      </w:pPr>
      <w:r>
        <w:rPr>
          <w:rFonts w:hint="eastAsia"/>
          <w:color w:val="auto"/>
          <w:sz w:val="24"/>
        </w:rPr>
        <w:t>格栅间、应急池、预处理池和石灰储仓，以及深度处理厂房位于厂区东南部；膜处理厂房和室外罐区位于厂区西南部；生活污水处理厂房和污泥堆放间、危废处置间位于厂区东北部；综合楼和车辆清洗、检修间、停车场位于厂区西北部。</w:t>
      </w:r>
    </w:p>
    <w:p>
      <w:pPr>
        <w:adjustRightInd w:val="0"/>
        <w:snapToGrid w:val="0"/>
        <w:spacing w:line="360" w:lineRule="auto"/>
        <w:ind w:firstLine="480" w:firstLineChars="200"/>
        <w:contextualSpacing/>
        <w:rPr>
          <w:color w:val="auto"/>
          <w:sz w:val="24"/>
        </w:rPr>
      </w:pPr>
      <w:r>
        <w:rPr>
          <w:rFonts w:hint="eastAsia"/>
          <w:color w:val="auto"/>
          <w:sz w:val="24"/>
        </w:rPr>
        <w:t>建构筑物情况详见表2</w:t>
      </w:r>
      <w:r>
        <w:rPr>
          <w:color w:val="auto"/>
          <w:sz w:val="24"/>
        </w:rPr>
        <w:t>.1-2</w:t>
      </w:r>
      <w:r>
        <w:rPr>
          <w:rFonts w:hint="eastAsia"/>
          <w:color w:val="auto"/>
          <w:sz w:val="24"/>
        </w:rPr>
        <w:t>。</w:t>
      </w:r>
    </w:p>
    <w:p>
      <w:pPr>
        <w:pStyle w:val="11"/>
        <w:adjustRightInd w:val="0"/>
        <w:snapToGrid w:val="0"/>
        <w:spacing w:after="0" w:line="300" w:lineRule="auto"/>
        <w:contextualSpacing/>
        <w:jc w:val="center"/>
        <w:rPr>
          <w:b/>
          <w:color w:val="auto"/>
          <w:sz w:val="21"/>
          <w:szCs w:val="21"/>
        </w:rPr>
      </w:pPr>
    </w:p>
    <w:p>
      <w:pPr>
        <w:pStyle w:val="11"/>
        <w:adjustRightInd w:val="0"/>
        <w:snapToGrid w:val="0"/>
        <w:spacing w:after="0" w:line="300" w:lineRule="auto"/>
        <w:contextualSpacing/>
        <w:jc w:val="center"/>
        <w:rPr>
          <w:b/>
          <w:color w:val="auto"/>
          <w:sz w:val="21"/>
          <w:szCs w:val="21"/>
        </w:rPr>
      </w:pPr>
      <w:r>
        <w:rPr>
          <w:b/>
          <w:color w:val="auto"/>
          <w:sz w:val="21"/>
          <w:szCs w:val="21"/>
        </w:rPr>
        <w:t>表2.1-2 建构筑物一览表</w:t>
      </w:r>
    </w:p>
    <w:tbl>
      <w:tblPr>
        <w:tblStyle w:val="26"/>
        <w:tblW w:w="895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1223"/>
        <w:gridCol w:w="1174"/>
        <w:gridCol w:w="1258"/>
        <w:gridCol w:w="982"/>
        <w:gridCol w:w="1417"/>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color w:val="auto"/>
                <w:sz w:val="21"/>
                <w:szCs w:val="21"/>
              </w:rPr>
              <w:t>名称</w:t>
            </w:r>
          </w:p>
        </w:tc>
        <w:tc>
          <w:tcPr>
            <w:tcW w:w="1223" w:type="dxa"/>
            <w:vAlign w:val="center"/>
          </w:tcPr>
          <w:p>
            <w:pPr>
              <w:adjustRightInd w:val="0"/>
              <w:snapToGrid w:val="0"/>
              <w:contextualSpacing/>
              <w:jc w:val="center"/>
              <w:rPr>
                <w:color w:val="auto"/>
                <w:sz w:val="21"/>
                <w:szCs w:val="21"/>
              </w:rPr>
            </w:pPr>
            <w:r>
              <w:rPr>
                <w:color w:val="auto"/>
                <w:sz w:val="21"/>
                <w:szCs w:val="21"/>
              </w:rPr>
              <w:t>基</w:t>
            </w:r>
            <w:r>
              <w:rPr>
                <w:rFonts w:hint="eastAsia"/>
                <w:color w:val="auto"/>
                <w:sz w:val="21"/>
                <w:szCs w:val="21"/>
              </w:rPr>
              <w:t>底</w:t>
            </w:r>
            <w:r>
              <w:rPr>
                <w:color w:val="auto"/>
                <w:sz w:val="21"/>
                <w:szCs w:val="21"/>
              </w:rPr>
              <w:t>面积</w:t>
            </w:r>
          </w:p>
          <w:p>
            <w:pPr>
              <w:adjustRightInd w:val="0"/>
              <w:snapToGrid w:val="0"/>
              <w:contextualSpacing/>
              <w:jc w:val="center"/>
              <w:rPr>
                <w:color w:val="auto"/>
                <w:sz w:val="21"/>
                <w:szCs w:val="21"/>
              </w:rPr>
            </w:pPr>
            <w:r>
              <w:rPr>
                <w:color w:val="auto"/>
                <w:sz w:val="21"/>
                <w:szCs w:val="21"/>
              </w:rPr>
              <w:t>(m²)</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地上</w:t>
            </w:r>
            <w:r>
              <w:rPr>
                <w:color w:val="auto"/>
                <w:sz w:val="21"/>
                <w:szCs w:val="21"/>
              </w:rPr>
              <w:t>建筑面积(m²)</w:t>
            </w:r>
          </w:p>
        </w:tc>
        <w:tc>
          <w:tcPr>
            <w:tcW w:w="1258" w:type="dxa"/>
            <w:vAlign w:val="center"/>
          </w:tcPr>
          <w:p>
            <w:pPr>
              <w:adjustRightInd w:val="0"/>
              <w:snapToGrid w:val="0"/>
              <w:contextualSpacing/>
              <w:jc w:val="center"/>
              <w:rPr>
                <w:color w:val="auto"/>
                <w:sz w:val="21"/>
                <w:szCs w:val="21"/>
              </w:rPr>
            </w:pPr>
            <w:r>
              <w:rPr>
                <w:rFonts w:hint="eastAsia"/>
                <w:color w:val="auto"/>
                <w:sz w:val="21"/>
                <w:szCs w:val="21"/>
              </w:rPr>
              <w:t>地下</w:t>
            </w:r>
            <w:r>
              <w:rPr>
                <w:color w:val="auto"/>
                <w:sz w:val="21"/>
                <w:szCs w:val="21"/>
              </w:rPr>
              <w:t>建筑面积(m²)</w:t>
            </w:r>
          </w:p>
        </w:tc>
        <w:tc>
          <w:tcPr>
            <w:tcW w:w="982" w:type="dxa"/>
            <w:vAlign w:val="center"/>
          </w:tcPr>
          <w:p>
            <w:pPr>
              <w:adjustRightInd w:val="0"/>
              <w:snapToGrid w:val="0"/>
              <w:contextualSpacing/>
              <w:jc w:val="center"/>
              <w:rPr>
                <w:color w:val="auto"/>
                <w:sz w:val="21"/>
                <w:szCs w:val="21"/>
              </w:rPr>
            </w:pPr>
            <w:r>
              <w:rPr>
                <w:rFonts w:hint="eastAsia"/>
                <w:color w:val="auto"/>
                <w:sz w:val="21"/>
                <w:szCs w:val="21"/>
              </w:rPr>
              <w:t>层数</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结构</w:t>
            </w:r>
          </w:p>
        </w:tc>
        <w:tc>
          <w:tcPr>
            <w:tcW w:w="1346" w:type="dxa"/>
            <w:vAlign w:val="center"/>
          </w:tcPr>
          <w:p>
            <w:pPr>
              <w:adjustRightInd w:val="0"/>
              <w:snapToGrid w:val="0"/>
              <w:contextualSpacing/>
              <w:jc w:val="center"/>
              <w:rPr>
                <w:color w:val="auto"/>
                <w:sz w:val="21"/>
                <w:szCs w:val="21"/>
              </w:rPr>
            </w:pPr>
            <w:r>
              <w:rPr>
                <w:color w:val="auto"/>
                <w:sz w:val="21"/>
                <w:szCs w:val="21"/>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格栅间</w:t>
            </w:r>
          </w:p>
        </w:tc>
        <w:tc>
          <w:tcPr>
            <w:tcW w:w="1223" w:type="dxa"/>
            <w:vAlign w:val="center"/>
          </w:tcPr>
          <w:p>
            <w:pPr>
              <w:adjustRightInd w:val="0"/>
              <w:snapToGrid w:val="0"/>
              <w:contextualSpacing/>
              <w:jc w:val="center"/>
              <w:rPr>
                <w:color w:val="auto"/>
                <w:sz w:val="21"/>
                <w:szCs w:val="21"/>
              </w:rPr>
            </w:pPr>
            <w:r>
              <w:rPr>
                <w:color w:val="auto"/>
                <w:sz w:val="21"/>
                <w:szCs w:val="21"/>
              </w:rPr>
              <w:t>1</w:t>
            </w:r>
            <w:r>
              <w:rPr>
                <w:rFonts w:hint="eastAsia"/>
                <w:color w:val="auto"/>
                <w:sz w:val="21"/>
                <w:szCs w:val="21"/>
              </w:rPr>
              <w:t>4</w:t>
            </w:r>
            <w:r>
              <w:rPr>
                <w:color w:val="auto"/>
                <w:sz w:val="21"/>
                <w:szCs w:val="21"/>
              </w:rPr>
              <w:t>9.76</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49.76</w:t>
            </w:r>
          </w:p>
        </w:tc>
        <w:tc>
          <w:tcPr>
            <w:tcW w:w="1258"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49.76</w:t>
            </w: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F/-1F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框架/钢混</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应急池</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23.26</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23.26</w:t>
            </w:r>
          </w:p>
        </w:tc>
        <w:tc>
          <w:tcPr>
            <w:tcW w:w="1258" w:type="dxa"/>
            <w:vAlign w:val="center"/>
          </w:tcPr>
          <w:p>
            <w:pPr>
              <w:adjustRightInd w:val="0"/>
              <w:snapToGrid w:val="0"/>
              <w:contextualSpacing/>
              <w:jc w:val="center"/>
              <w:rPr>
                <w:color w:val="auto"/>
                <w:sz w:val="21"/>
                <w:szCs w:val="21"/>
              </w:rPr>
            </w:pPr>
            <w:r>
              <w:rPr>
                <w:rFonts w:hint="eastAsia"/>
                <w:color w:val="auto"/>
                <w:sz w:val="21"/>
                <w:szCs w:val="21"/>
              </w:rPr>
              <w:t>6</w:t>
            </w:r>
            <w:r>
              <w:rPr>
                <w:color w:val="auto"/>
                <w:sz w:val="21"/>
                <w:szCs w:val="21"/>
              </w:rPr>
              <w:t>43.89</w:t>
            </w: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F/-1F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框架/钢混</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预处理池</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7</w:t>
            </w:r>
            <w:r>
              <w:rPr>
                <w:color w:val="auto"/>
                <w:sz w:val="21"/>
                <w:szCs w:val="21"/>
              </w:rPr>
              <w:t>97</w:t>
            </w:r>
            <w:r>
              <w:rPr>
                <w:rFonts w:hint="eastAsia"/>
                <w:color w:val="auto"/>
                <w:sz w:val="21"/>
                <w:szCs w:val="21"/>
              </w:rPr>
              <w:t>.</w:t>
            </w:r>
            <w:r>
              <w:rPr>
                <w:color w:val="auto"/>
                <w:sz w:val="21"/>
                <w:szCs w:val="21"/>
              </w:rPr>
              <w:t>81</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9</w:t>
            </w:r>
            <w:r>
              <w:rPr>
                <w:color w:val="auto"/>
                <w:sz w:val="21"/>
                <w:szCs w:val="21"/>
              </w:rPr>
              <w:t>77.57</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F/2F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石灰仓储间</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35.29</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35.29</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轻钢</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深度处理厂房</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864.34</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3</w:t>
            </w:r>
            <w:r>
              <w:rPr>
                <w:color w:val="auto"/>
                <w:sz w:val="21"/>
                <w:szCs w:val="21"/>
              </w:rPr>
              <w:t>515.85</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F/2F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膜处理厂房</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851.96</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851.96</w:t>
            </w:r>
          </w:p>
        </w:tc>
        <w:tc>
          <w:tcPr>
            <w:tcW w:w="1258"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851.96</w:t>
            </w: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F/-1F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框架/钢混</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中间罐</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0.27</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0.27</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产水罐</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0.27</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0.27</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浓水罐</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0.27</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0.27</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生活污水处理厂房</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6</w:t>
            </w:r>
            <w:r>
              <w:rPr>
                <w:color w:val="auto"/>
                <w:sz w:val="21"/>
                <w:szCs w:val="21"/>
              </w:rPr>
              <w:t>02.80</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6</w:t>
            </w:r>
            <w:r>
              <w:rPr>
                <w:color w:val="auto"/>
                <w:sz w:val="21"/>
                <w:szCs w:val="21"/>
              </w:rPr>
              <w:t>02.80</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污泥堆放间</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4</w:t>
            </w:r>
            <w:r>
              <w:rPr>
                <w:color w:val="auto"/>
                <w:sz w:val="21"/>
                <w:szCs w:val="21"/>
              </w:rPr>
              <w:t>50.00</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4</w:t>
            </w:r>
            <w:r>
              <w:rPr>
                <w:color w:val="auto"/>
                <w:sz w:val="21"/>
                <w:szCs w:val="21"/>
              </w:rPr>
              <w:t>50.00</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危废处置间</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41.56</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41.56</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综合楼</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3</w:t>
            </w:r>
            <w:r>
              <w:rPr>
                <w:color w:val="auto"/>
                <w:sz w:val="21"/>
                <w:szCs w:val="21"/>
              </w:rPr>
              <w:t>85.56</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7</w:t>
            </w:r>
            <w:r>
              <w:rPr>
                <w:color w:val="auto"/>
                <w:sz w:val="21"/>
                <w:szCs w:val="21"/>
              </w:rPr>
              <w:t>71.12</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条形基础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车辆清洗、检修间</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55.78</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55.78</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门卫室</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5.92</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5.92</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rFonts w:hint="eastAsia"/>
                <w:color w:val="auto"/>
                <w:sz w:val="21"/>
                <w:szCs w:val="21"/>
              </w:rPr>
              <w:t>地秤室</w:t>
            </w:r>
          </w:p>
        </w:tc>
        <w:tc>
          <w:tcPr>
            <w:tcW w:w="1223"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4.17</w:t>
            </w:r>
          </w:p>
        </w:tc>
        <w:tc>
          <w:tcPr>
            <w:tcW w:w="1174"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4.17</w:t>
            </w:r>
          </w:p>
        </w:tc>
        <w:tc>
          <w:tcPr>
            <w:tcW w:w="1258" w:type="dxa"/>
            <w:vAlign w:val="center"/>
          </w:tcPr>
          <w:p>
            <w:pPr>
              <w:adjustRightInd w:val="0"/>
              <w:snapToGrid w:val="0"/>
              <w:contextualSpacing/>
              <w:jc w:val="center"/>
              <w:rPr>
                <w:color w:val="auto"/>
                <w:sz w:val="21"/>
                <w:szCs w:val="21"/>
              </w:rPr>
            </w:pPr>
          </w:p>
        </w:tc>
        <w:tc>
          <w:tcPr>
            <w:tcW w:w="982" w:type="dxa"/>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F</w:t>
            </w:r>
          </w:p>
        </w:tc>
        <w:tc>
          <w:tcPr>
            <w:tcW w:w="1417" w:type="dxa"/>
            <w:vAlign w:val="center"/>
          </w:tcPr>
          <w:p>
            <w:pPr>
              <w:adjustRightInd w:val="0"/>
              <w:snapToGrid w:val="0"/>
              <w:contextualSpacing/>
              <w:jc w:val="center"/>
              <w:rPr>
                <w:color w:val="auto"/>
                <w:sz w:val="21"/>
                <w:szCs w:val="21"/>
              </w:rPr>
            </w:pPr>
            <w:r>
              <w:rPr>
                <w:rFonts w:hint="eastAsia"/>
                <w:color w:val="auto"/>
                <w:sz w:val="21"/>
                <w:szCs w:val="21"/>
              </w:rPr>
              <w:t>框架</w:t>
            </w:r>
          </w:p>
        </w:tc>
        <w:tc>
          <w:tcPr>
            <w:tcW w:w="1346" w:type="dxa"/>
            <w:vAlign w:val="center"/>
          </w:tcPr>
          <w:p>
            <w:pPr>
              <w:adjustRightInd w:val="0"/>
              <w:snapToGrid w:val="0"/>
              <w:contextualSpacing/>
              <w:jc w:val="center"/>
              <w:rPr>
                <w:color w:val="auto"/>
                <w:sz w:val="21"/>
                <w:szCs w:val="21"/>
              </w:rPr>
            </w:pPr>
            <w:r>
              <w:rPr>
                <w:rFonts w:hint="eastAsia"/>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51" w:type="dxa"/>
            <w:vAlign w:val="center"/>
          </w:tcPr>
          <w:p>
            <w:pPr>
              <w:adjustRightInd w:val="0"/>
              <w:snapToGrid w:val="0"/>
              <w:contextualSpacing/>
              <w:jc w:val="center"/>
              <w:rPr>
                <w:color w:val="auto"/>
                <w:sz w:val="21"/>
                <w:szCs w:val="21"/>
              </w:rPr>
            </w:pPr>
            <w:r>
              <w:rPr>
                <w:color w:val="auto"/>
                <w:sz w:val="21"/>
                <w:szCs w:val="21"/>
              </w:rPr>
              <w:t>合计</w:t>
            </w:r>
          </w:p>
        </w:tc>
        <w:tc>
          <w:tcPr>
            <w:tcW w:w="1223" w:type="dxa"/>
            <w:vAlign w:val="center"/>
          </w:tcPr>
          <w:p>
            <w:pPr>
              <w:widowControl/>
              <w:contextualSpacing/>
              <w:jc w:val="center"/>
              <w:rPr>
                <w:color w:val="auto"/>
                <w:sz w:val="21"/>
                <w:szCs w:val="21"/>
              </w:rPr>
            </w:pPr>
            <w:r>
              <w:rPr>
                <w:rFonts w:hint="eastAsia"/>
                <w:color w:val="auto"/>
                <w:sz w:val="21"/>
                <w:szCs w:val="21"/>
              </w:rPr>
              <w:t>8</w:t>
            </w:r>
            <w:r>
              <w:rPr>
                <w:color w:val="auto"/>
                <w:sz w:val="21"/>
                <w:szCs w:val="21"/>
              </w:rPr>
              <w:t>159.02</w:t>
            </w:r>
          </w:p>
        </w:tc>
        <w:tc>
          <w:tcPr>
            <w:tcW w:w="1174" w:type="dxa"/>
            <w:vAlign w:val="center"/>
          </w:tcPr>
          <w:p>
            <w:pPr>
              <w:widowControl/>
              <w:contextualSpacing/>
              <w:jc w:val="center"/>
              <w:rPr>
                <w:color w:val="auto"/>
                <w:sz w:val="21"/>
                <w:szCs w:val="21"/>
              </w:rPr>
            </w:pPr>
            <w:r>
              <w:rPr>
                <w:rFonts w:hint="eastAsia"/>
                <w:color w:val="auto"/>
                <w:sz w:val="21"/>
                <w:szCs w:val="21"/>
              </w:rPr>
              <w:t>9</w:t>
            </w:r>
            <w:r>
              <w:rPr>
                <w:color w:val="auto"/>
                <w:sz w:val="21"/>
                <w:szCs w:val="21"/>
              </w:rPr>
              <w:t>375.85</w:t>
            </w:r>
          </w:p>
        </w:tc>
        <w:tc>
          <w:tcPr>
            <w:tcW w:w="1258" w:type="dxa"/>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645.61</w:t>
            </w:r>
          </w:p>
        </w:tc>
        <w:tc>
          <w:tcPr>
            <w:tcW w:w="982" w:type="dxa"/>
            <w:vAlign w:val="center"/>
          </w:tcPr>
          <w:p>
            <w:pPr>
              <w:adjustRightInd w:val="0"/>
              <w:snapToGrid w:val="0"/>
              <w:contextualSpacing/>
              <w:jc w:val="center"/>
              <w:rPr>
                <w:color w:val="auto"/>
                <w:sz w:val="21"/>
                <w:szCs w:val="21"/>
              </w:rPr>
            </w:pPr>
          </w:p>
        </w:tc>
        <w:tc>
          <w:tcPr>
            <w:tcW w:w="1417" w:type="dxa"/>
            <w:vAlign w:val="center"/>
          </w:tcPr>
          <w:p>
            <w:pPr>
              <w:adjustRightInd w:val="0"/>
              <w:snapToGrid w:val="0"/>
              <w:contextualSpacing/>
              <w:jc w:val="center"/>
              <w:rPr>
                <w:color w:val="auto"/>
                <w:sz w:val="21"/>
                <w:szCs w:val="21"/>
              </w:rPr>
            </w:pPr>
          </w:p>
        </w:tc>
        <w:tc>
          <w:tcPr>
            <w:tcW w:w="1346" w:type="dxa"/>
            <w:vAlign w:val="center"/>
          </w:tcPr>
          <w:p>
            <w:pPr>
              <w:adjustRightInd w:val="0"/>
              <w:snapToGrid w:val="0"/>
              <w:contextualSpacing/>
              <w:jc w:val="center"/>
              <w:rPr>
                <w:color w:val="auto"/>
                <w:sz w:val="21"/>
                <w:szCs w:val="21"/>
              </w:rPr>
            </w:pPr>
          </w:p>
        </w:tc>
      </w:tr>
    </w:tbl>
    <w:p>
      <w:pPr>
        <w:adjustRightInd w:val="0"/>
        <w:snapToGrid w:val="0"/>
        <w:spacing w:before="156" w:beforeLines="50" w:line="360" w:lineRule="auto"/>
        <w:contextualSpacing/>
        <w:outlineLvl w:val="2"/>
        <w:rPr>
          <w:b/>
          <w:bCs/>
          <w:color w:val="auto"/>
          <w:sz w:val="24"/>
        </w:rPr>
      </w:pPr>
      <w:r>
        <w:rPr>
          <w:b/>
          <w:bCs/>
          <w:color w:val="auto"/>
          <w:sz w:val="24"/>
        </w:rPr>
        <w:t>2.1.2.2</w:t>
      </w:r>
      <w:r>
        <w:rPr>
          <w:rFonts w:hint="eastAsia"/>
          <w:b/>
          <w:bCs/>
          <w:color w:val="auto"/>
          <w:sz w:val="24"/>
        </w:rPr>
        <w:t>道路地面</w:t>
      </w:r>
      <w:r>
        <w:rPr>
          <w:b/>
          <w:bCs/>
          <w:color w:val="auto"/>
          <w:sz w:val="24"/>
        </w:rPr>
        <w:t>硬化区</w:t>
      </w:r>
    </w:p>
    <w:p>
      <w:pPr>
        <w:adjustRightInd w:val="0"/>
        <w:snapToGrid w:val="0"/>
        <w:spacing w:line="360" w:lineRule="auto"/>
        <w:ind w:firstLine="480" w:firstLineChars="200"/>
        <w:contextualSpacing/>
        <w:rPr>
          <w:color w:val="auto"/>
          <w:sz w:val="24"/>
        </w:rPr>
      </w:pPr>
      <w:r>
        <w:rPr>
          <w:rFonts w:hint="eastAsia"/>
          <w:color w:val="auto"/>
          <w:sz w:val="24"/>
        </w:rPr>
        <w:t>厂内道路为城市型道路，呈环形布置，道路总铺筑面积约为</w:t>
      </w:r>
      <w:r>
        <w:rPr>
          <w:color w:val="auto"/>
          <w:sz w:val="24"/>
        </w:rPr>
        <w:t>5805.98</w:t>
      </w:r>
      <w:r>
        <w:rPr>
          <w:rFonts w:hint="eastAsia"/>
          <w:color w:val="auto"/>
          <w:sz w:val="24"/>
        </w:rPr>
        <w:t>m</w:t>
      </w:r>
      <w:r>
        <w:rPr>
          <w:rFonts w:hint="eastAsia"/>
          <w:color w:val="auto"/>
          <w:sz w:val="24"/>
          <w:vertAlign w:val="superscript"/>
        </w:rPr>
        <w:t>2</w:t>
      </w:r>
      <w:r>
        <w:rPr>
          <w:rFonts w:hint="eastAsia"/>
          <w:color w:val="auto"/>
          <w:sz w:val="24"/>
        </w:rPr>
        <w:t>。主、次干道路面宽度均为7m，道路内缘转弯半径为6m，采用沥青混凝土路面，路缘石高出路面1</w:t>
      </w:r>
      <w:r>
        <w:rPr>
          <w:color w:val="auto"/>
          <w:sz w:val="24"/>
        </w:rPr>
        <w:t>5cm</w:t>
      </w:r>
      <w:r>
        <w:rPr>
          <w:rFonts w:hint="eastAsia"/>
          <w:color w:val="auto"/>
          <w:sz w:val="24"/>
        </w:rPr>
        <w:t>。</w:t>
      </w:r>
    </w:p>
    <w:p>
      <w:pPr>
        <w:pStyle w:val="24"/>
        <w:ind w:firstLine="0" w:firstLineChars="0"/>
        <w:jc w:val="center"/>
        <w:rPr>
          <w:color w:val="auto"/>
        </w:rPr>
      </w:pPr>
      <w:r>
        <w:rPr>
          <w:color w:val="auto"/>
        </w:rPr>
        <w:drawing>
          <wp:inline distT="0" distB="0" distL="0" distR="0">
            <wp:extent cx="3427730" cy="1760220"/>
            <wp:effectExtent l="0" t="0" r="1270" b="0"/>
            <wp:docPr id="2046519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19904" name="图片 1"/>
                    <pic:cNvPicPr>
                      <a:picLocks noChangeAspect="1"/>
                    </pic:cNvPicPr>
                  </pic:nvPicPr>
                  <pic:blipFill>
                    <a:blip r:embed="rId25"/>
                    <a:stretch>
                      <a:fillRect/>
                    </a:stretch>
                  </pic:blipFill>
                  <pic:spPr>
                    <a:xfrm>
                      <a:off x="0" y="0"/>
                      <a:ext cx="3453936" cy="1773542"/>
                    </a:xfrm>
                    <a:prstGeom prst="rect">
                      <a:avLst/>
                    </a:prstGeom>
                  </pic:spPr>
                </pic:pic>
              </a:graphicData>
            </a:graphic>
          </wp:inline>
        </w:drawing>
      </w:r>
    </w:p>
    <w:p>
      <w:pPr>
        <w:pStyle w:val="24"/>
        <w:ind w:firstLine="0" w:firstLineChars="0"/>
        <w:jc w:val="center"/>
        <w:rPr>
          <w:b/>
          <w:color w:val="auto"/>
          <w:sz w:val="21"/>
          <w:szCs w:val="21"/>
        </w:rPr>
      </w:pPr>
      <w:r>
        <w:rPr>
          <w:rFonts w:hint="eastAsia"/>
          <w:b/>
          <w:color w:val="auto"/>
          <w:sz w:val="21"/>
          <w:szCs w:val="21"/>
        </w:rPr>
        <w:t>图</w:t>
      </w:r>
      <w:r>
        <w:rPr>
          <w:b/>
          <w:color w:val="auto"/>
          <w:sz w:val="21"/>
          <w:szCs w:val="21"/>
        </w:rPr>
        <w:t xml:space="preserve">2.1-1   </w:t>
      </w:r>
      <w:r>
        <w:rPr>
          <w:rFonts w:hint="eastAsia"/>
          <w:b/>
          <w:color w:val="auto"/>
          <w:sz w:val="21"/>
          <w:szCs w:val="21"/>
        </w:rPr>
        <w:t>道路断面图</w:t>
      </w:r>
    </w:p>
    <w:p>
      <w:pPr>
        <w:adjustRightInd w:val="0"/>
        <w:snapToGrid w:val="0"/>
        <w:spacing w:before="156" w:beforeLines="50" w:line="360" w:lineRule="auto"/>
        <w:contextualSpacing/>
        <w:outlineLvl w:val="2"/>
        <w:rPr>
          <w:b/>
          <w:color w:val="auto"/>
          <w:sz w:val="21"/>
          <w:szCs w:val="21"/>
        </w:rPr>
      </w:pPr>
      <w:r>
        <w:rPr>
          <w:b/>
          <w:bCs/>
          <w:color w:val="auto"/>
          <w:sz w:val="24"/>
        </w:rPr>
        <w:t>2.1.2.3</w:t>
      </w:r>
      <w:r>
        <w:rPr>
          <w:rFonts w:hint="eastAsia"/>
          <w:b/>
          <w:bCs/>
          <w:color w:val="auto"/>
          <w:sz w:val="24"/>
        </w:rPr>
        <w:t>绿化</w:t>
      </w:r>
      <w:r>
        <w:rPr>
          <w:b/>
          <w:bCs/>
          <w:color w:val="auto"/>
          <w:sz w:val="24"/>
        </w:rPr>
        <w:t>区</w:t>
      </w:r>
    </w:p>
    <w:p>
      <w:pPr>
        <w:adjustRightInd w:val="0"/>
        <w:snapToGrid w:val="0"/>
        <w:spacing w:line="360" w:lineRule="auto"/>
        <w:ind w:firstLine="480" w:firstLineChars="200"/>
        <w:contextualSpacing/>
        <w:rPr>
          <w:color w:val="auto"/>
          <w:sz w:val="24"/>
        </w:rPr>
      </w:pPr>
      <w:r>
        <w:rPr>
          <w:rFonts w:hint="eastAsia"/>
          <w:color w:val="auto"/>
          <w:sz w:val="24"/>
        </w:rPr>
        <w:t>在保护和利用原有植被的基础上，对厂区内进行合理的绿化设计。施工结束后对场内道路两侧、厂区周围进行绿化，铺设草坪，使厂区内有一个优美的环境。铺设草皮面积1</w:t>
      </w:r>
      <w:r>
        <w:rPr>
          <w:color w:val="auto"/>
          <w:sz w:val="24"/>
        </w:rPr>
        <w:t>6035.00m</w:t>
      </w:r>
      <w:r>
        <w:rPr>
          <w:color w:val="auto"/>
          <w:sz w:val="24"/>
          <w:vertAlign w:val="superscript"/>
        </w:rPr>
        <w:t>2</w:t>
      </w:r>
      <w:r>
        <w:rPr>
          <w:rFonts w:hint="eastAsia"/>
          <w:color w:val="auto"/>
          <w:sz w:val="24"/>
        </w:rPr>
        <w:t>，绿化率5</w:t>
      </w:r>
      <w:r>
        <w:rPr>
          <w:color w:val="auto"/>
          <w:sz w:val="24"/>
        </w:rPr>
        <w:t>3.45</w:t>
      </w:r>
      <w:r>
        <w:rPr>
          <w:rFonts w:hint="eastAsia"/>
          <w:color w:val="auto"/>
          <w:sz w:val="24"/>
        </w:rPr>
        <w:t>%。</w:t>
      </w:r>
    </w:p>
    <w:p>
      <w:pPr>
        <w:adjustRightInd w:val="0"/>
        <w:snapToGrid w:val="0"/>
        <w:spacing w:before="156" w:beforeLines="50" w:line="360" w:lineRule="auto"/>
        <w:contextualSpacing/>
        <w:outlineLvl w:val="2"/>
        <w:rPr>
          <w:b/>
          <w:color w:val="auto"/>
          <w:sz w:val="21"/>
          <w:szCs w:val="21"/>
        </w:rPr>
      </w:pPr>
      <w:r>
        <w:rPr>
          <w:b/>
          <w:bCs/>
          <w:color w:val="auto"/>
          <w:sz w:val="24"/>
        </w:rPr>
        <w:t>2.1.2.4</w:t>
      </w:r>
      <w:r>
        <w:rPr>
          <w:rFonts w:hint="eastAsia"/>
          <w:b/>
          <w:bCs/>
          <w:color w:val="auto"/>
          <w:sz w:val="24"/>
        </w:rPr>
        <w:t>工业园区管网</w:t>
      </w:r>
    </w:p>
    <w:p>
      <w:pPr>
        <w:adjustRightInd w:val="0"/>
        <w:snapToGrid w:val="0"/>
        <w:spacing w:line="360" w:lineRule="auto"/>
        <w:ind w:firstLine="480" w:firstLineChars="200"/>
        <w:contextualSpacing/>
        <w:rPr>
          <w:color w:val="auto"/>
          <w:sz w:val="24"/>
        </w:rPr>
      </w:pPr>
      <w:r>
        <w:rPr>
          <w:rFonts w:hint="eastAsia"/>
          <w:color w:val="auto"/>
          <w:sz w:val="24"/>
        </w:rPr>
        <w:t>园区排水采用分流制排水体系，工业污水（酸性）单独收集进入工业污水处理厂处理，生活污水单独收集进入生活污水处理站处理后排放，临时占地面积1</w:t>
      </w:r>
      <w:r>
        <w:rPr>
          <w:color w:val="auto"/>
          <w:sz w:val="24"/>
        </w:rPr>
        <w:t>1934m</w:t>
      </w:r>
      <w:r>
        <w:rPr>
          <w:color w:val="auto"/>
          <w:sz w:val="24"/>
          <w:vertAlign w:val="superscript"/>
        </w:rPr>
        <w:t>2</w:t>
      </w:r>
      <w:r>
        <w:rPr>
          <w:rFonts w:hint="eastAsia"/>
          <w:color w:val="auto"/>
          <w:sz w:val="24"/>
        </w:rPr>
        <w:t>。</w:t>
      </w:r>
    </w:p>
    <w:p>
      <w:pPr>
        <w:adjustRightInd w:val="0"/>
        <w:snapToGrid w:val="0"/>
        <w:spacing w:line="360" w:lineRule="auto"/>
        <w:ind w:firstLine="480" w:firstLineChars="200"/>
        <w:contextualSpacing/>
        <w:rPr>
          <w:color w:val="auto"/>
          <w:sz w:val="24"/>
        </w:rPr>
      </w:pPr>
      <w:r>
        <w:rPr>
          <w:rFonts w:hint="eastAsia"/>
          <w:color w:val="auto"/>
          <w:sz w:val="24"/>
        </w:rPr>
        <w:t>1、园区工业污水排水管网</w:t>
      </w:r>
    </w:p>
    <w:p>
      <w:pPr>
        <w:adjustRightInd w:val="0"/>
        <w:snapToGrid w:val="0"/>
        <w:spacing w:line="360" w:lineRule="auto"/>
        <w:ind w:firstLine="480" w:firstLineChars="200"/>
        <w:contextualSpacing/>
        <w:rPr>
          <w:color w:val="auto"/>
          <w:sz w:val="24"/>
        </w:rPr>
      </w:pPr>
      <w:r>
        <w:rPr>
          <w:rFonts w:hint="eastAsia"/>
          <w:color w:val="auto"/>
          <w:sz w:val="24"/>
        </w:rPr>
        <w:t>各企业的工业污水排放管道独立沿规划二街敷设，汇至规划七路南侧总汇水池内，汇水池出水靠重力流排入工业污水厂格栅渠。新建工业污水排放管网5</w:t>
      </w:r>
      <w:r>
        <w:rPr>
          <w:color w:val="auto"/>
          <w:sz w:val="24"/>
        </w:rPr>
        <w:t>341m</w:t>
      </w:r>
      <w:r>
        <w:rPr>
          <w:rFonts w:hint="eastAsia"/>
          <w:color w:val="auto"/>
          <w:sz w:val="24"/>
        </w:rPr>
        <w:t>，管径D</w:t>
      </w:r>
      <w:r>
        <w:rPr>
          <w:color w:val="auto"/>
          <w:sz w:val="24"/>
        </w:rPr>
        <w:t>N200~DN500</w:t>
      </w:r>
      <w:r>
        <w:rPr>
          <w:rFonts w:hint="eastAsia"/>
          <w:color w:val="auto"/>
          <w:sz w:val="24"/>
        </w:rPr>
        <w:t>。</w:t>
      </w:r>
    </w:p>
    <w:p>
      <w:pPr>
        <w:adjustRightInd w:val="0"/>
        <w:snapToGrid w:val="0"/>
        <w:spacing w:line="360" w:lineRule="auto"/>
        <w:ind w:firstLine="480" w:firstLineChars="200"/>
        <w:contextualSpacing/>
        <w:rPr>
          <w:color w:val="auto"/>
          <w:sz w:val="24"/>
        </w:rPr>
      </w:pPr>
      <w:r>
        <w:rPr>
          <w:rFonts w:hint="eastAsia"/>
          <w:color w:val="auto"/>
          <w:sz w:val="24"/>
        </w:rPr>
        <w:t>2、园区生活污水排水管网</w:t>
      </w:r>
    </w:p>
    <w:p>
      <w:pPr>
        <w:adjustRightInd w:val="0"/>
        <w:snapToGrid w:val="0"/>
        <w:spacing w:line="360" w:lineRule="auto"/>
        <w:ind w:firstLine="480" w:firstLineChars="200"/>
        <w:contextualSpacing/>
        <w:rPr>
          <w:color w:val="auto"/>
          <w:sz w:val="24"/>
        </w:rPr>
      </w:pPr>
      <w:r>
        <w:rPr>
          <w:rFonts w:hint="eastAsia"/>
          <w:color w:val="auto"/>
          <w:sz w:val="24"/>
        </w:rPr>
        <w:t>生活污水排放管道延规划二街与规划三街布设主干管，最终汇入污水处理站。整体上规划二街以西企业，依靠地势沿街敷设支管，最终汇入规划二街干管；规划二街以东，规划三街以西企业，由西向东敷设支管，最终汇入规划三街排水干管，而后汇入污水处理站。新建生活污水排放管网4</w:t>
      </w:r>
      <w:r>
        <w:rPr>
          <w:color w:val="auto"/>
          <w:sz w:val="24"/>
        </w:rPr>
        <w:t>522m</w:t>
      </w:r>
      <w:r>
        <w:rPr>
          <w:rFonts w:hint="eastAsia"/>
          <w:color w:val="auto"/>
          <w:sz w:val="24"/>
        </w:rPr>
        <w:t>，管径为D</w:t>
      </w:r>
      <w:r>
        <w:rPr>
          <w:color w:val="auto"/>
          <w:sz w:val="24"/>
        </w:rPr>
        <w:t>N300~DN400</w:t>
      </w:r>
      <w:r>
        <w:rPr>
          <w:rFonts w:hint="eastAsia"/>
          <w:color w:val="auto"/>
          <w:sz w:val="24"/>
        </w:rPr>
        <w:t>。</w:t>
      </w:r>
    </w:p>
    <w:p>
      <w:pPr>
        <w:adjustRightInd w:val="0"/>
        <w:snapToGrid w:val="0"/>
        <w:spacing w:line="360" w:lineRule="auto"/>
        <w:ind w:firstLine="480" w:firstLineChars="200"/>
        <w:contextualSpacing/>
        <w:rPr>
          <w:color w:val="auto"/>
          <w:sz w:val="24"/>
        </w:rPr>
      </w:pPr>
      <w:r>
        <w:rPr>
          <w:rFonts w:hint="eastAsia"/>
          <w:color w:val="auto"/>
          <w:sz w:val="24"/>
        </w:rPr>
        <w:t>3、回用管网</w:t>
      </w:r>
    </w:p>
    <w:p>
      <w:pPr>
        <w:adjustRightInd w:val="0"/>
        <w:snapToGrid w:val="0"/>
        <w:spacing w:line="360" w:lineRule="auto"/>
        <w:ind w:firstLine="480" w:firstLineChars="200"/>
        <w:contextualSpacing/>
        <w:rPr>
          <w:color w:val="auto"/>
          <w:sz w:val="24"/>
        </w:rPr>
      </w:pPr>
      <w:r>
        <w:rPr>
          <w:rFonts w:hint="eastAsia"/>
          <w:color w:val="auto"/>
          <w:sz w:val="24"/>
        </w:rPr>
        <w:t>园区回水管网采取分质、分流供给方式，根据企业需要的水质、水量情况配套管网，并显示水质标识（产水回用、浓水回用）。</w:t>
      </w:r>
    </w:p>
    <w:p>
      <w:pPr>
        <w:adjustRightInd w:val="0"/>
        <w:snapToGrid w:val="0"/>
        <w:spacing w:line="360" w:lineRule="auto"/>
        <w:ind w:firstLine="480" w:firstLineChars="200"/>
        <w:contextualSpacing/>
        <w:rPr>
          <w:color w:val="auto"/>
          <w:sz w:val="24"/>
        </w:rPr>
      </w:pPr>
      <w:r>
        <w:rPr>
          <w:rFonts w:hint="eastAsia"/>
          <w:color w:val="auto"/>
          <w:sz w:val="24"/>
        </w:rPr>
        <w:t>产水回用由外输泵恒压输出的产水出了污水厂后，沿规划七路敷设至规划二街。在交叉口分为南、北两路。南路支管主要供应申太、金汇、国润、多凌等企业；北路支管主要工艺贝特瑞和广胜达等。</w:t>
      </w:r>
    </w:p>
    <w:p>
      <w:pPr>
        <w:adjustRightInd w:val="0"/>
        <w:snapToGrid w:val="0"/>
        <w:spacing w:line="360" w:lineRule="auto"/>
        <w:ind w:firstLine="480" w:firstLineChars="200"/>
        <w:contextualSpacing/>
        <w:rPr>
          <w:color w:val="auto"/>
          <w:sz w:val="24"/>
        </w:rPr>
      </w:pPr>
      <w:r>
        <w:rPr>
          <w:rFonts w:hint="eastAsia"/>
          <w:color w:val="auto"/>
          <w:sz w:val="24"/>
        </w:rPr>
        <w:t>浓水回用由浓水外输泵压力输出的浓水出了污水厂后跨过规划七路，沿着方虎路向北敷设，到达尾矿库的现场储存和处理设施。</w:t>
      </w:r>
    </w:p>
    <w:p>
      <w:pPr>
        <w:adjustRightInd w:val="0"/>
        <w:snapToGrid w:val="0"/>
        <w:spacing w:line="360" w:lineRule="auto"/>
        <w:ind w:firstLine="480" w:firstLineChars="200"/>
        <w:contextualSpacing/>
        <w:rPr>
          <w:color w:val="auto"/>
          <w:sz w:val="24"/>
        </w:rPr>
      </w:pPr>
      <w:r>
        <w:rPr>
          <w:rFonts w:hint="eastAsia"/>
          <w:color w:val="auto"/>
          <w:sz w:val="24"/>
        </w:rPr>
        <w:t>新建污水处理厂出水回用管网3</w:t>
      </w:r>
      <w:r>
        <w:rPr>
          <w:color w:val="auto"/>
          <w:sz w:val="24"/>
        </w:rPr>
        <w:t>089m</w:t>
      </w:r>
      <w:r>
        <w:rPr>
          <w:rFonts w:hint="eastAsia"/>
          <w:color w:val="auto"/>
          <w:sz w:val="24"/>
        </w:rPr>
        <w:t>，管径D</w:t>
      </w:r>
      <w:r>
        <w:rPr>
          <w:color w:val="auto"/>
          <w:sz w:val="24"/>
        </w:rPr>
        <w:t>N150~DN300</w:t>
      </w:r>
      <w:r>
        <w:rPr>
          <w:rFonts w:hint="eastAsia"/>
          <w:color w:val="auto"/>
          <w:sz w:val="24"/>
        </w:rPr>
        <w:t>，并在浓水回用企业设置储水罐3罐，缓冲池1座，提升系统3套。储水罐、缓冲池、提升系统由回用企业施工，不纳入本次防治责任范围。</w:t>
      </w:r>
    </w:p>
    <w:p>
      <w:pPr>
        <w:adjustRightInd w:val="0"/>
        <w:snapToGrid w:val="0"/>
        <w:spacing w:line="360" w:lineRule="auto"/>
        <w:contextualSpacing/>
        <w:outlineLvl w:val="2"/>
        <w:rPr>
          <w:b/>
          <w:bCs/>
          <w:color w:val="auto"/>
          <w:sz w:val="28"/>
          <w:szCs w:val="28"/>
        </w:rPr>
      </w:pPr>
      <w:r>
        <w:rPr>
          <w:b/>
          <w:bCs/>
          <w:color w:val="auto"/>
          <w:sz w:val="28"/>
          <w:szCs w:val="28"/>
        </w:rPr>
        <w:t>2.1.3项目竖向布置</w:t>
      </w:r>
    </w:p>
    <w:p>
      <w:pPr>
        <w:adjustRightInd w:val="0"/>
        <w:snapToGrid w:val="0"/>
        <w:spacing w:line="360" w:lineRule="auto"/>
        <w:ind w:firstLine="480" w:firstLineChars="200"/>
        <w:contextualSpacing/>
        <w:rPr>
          <w:color w:val="auto"/>
          <w:sz w:val="24"/>
        </w:rPr>
      </w:pPr>
      <w:r>
        <w:rPr>
          <w:rFonts w:hint="eastAsia"/>
          <w:color w:val="auto"/>
          <w:sz w:val="24"/>
        </w:rPr>
        <w:t>（1）原始标高</w:t>
      </w:r>
    </w:p>
    <w:p>
      <w:pPr>
        <w:adjustRightInd w:val="0"/>
        <w:snapToGrid w:val="0"/>
        <w:spacing w:line="360" w:lineRule="auto"/>
        <w:ind w:firstLine="480" w:firstLineChars="200"/>
        <w:contextualSpacing/>
        <w:rPr>
          <w:color w:val="auto"/>
          <w:sz w:val="24"/>
        </w:rPr>
      </w:pPr>
      <w:r>
        <w:rPr>
          <w:rFonts w:hint="eastAsia"/>
          <w:color w:val="auto"/>
          <w:sz w:val="24"/>
        </w:rPr>
        <w:t>场地为坡积裙地貌，西南高，东北低，场地标高298.05m~3</w:t>
      </w:r>
      <w:r>
        <w:rPr>
          <w:color w:val="auto"/>
          <w:sz w:val="24"/>
        </w:rPr>
        <w:t>05.51</w:t>
      </w:r>
      <w:r>
        <w:rPr>
          <w:rFonts w:hint="eastAsia"/>
          <w:color w:val="auto"/>
          <w:sz w:val="24"/>
        </w:rPr>
        <w:t>m。</w:t>
      </w:r>
    </w:p>
    <w:p>
      <w:pPr>
        <w:adjustRightInd w:val="0"/>
        <w:snapToGrid w:val="0"/>
        <w:spacing w:line="360" w:lineRule="auto"/>
        <w:ind w:firstLine="480" w:firstLineChars="200"/>
        <w:contextualSpacing/>
        <w:rPr>
          <w:color w:val="auto"/>
          <w:sz w:val="24"/>
        </w:rPr>
      </w:pPr>
      <w:r>
        <w:rPr>
          <w:rFonts w:hint="eastAsia"/>
          <w:color w:val="auto"/>
          <w:sz w:val="24"/>
        </w:rPr>
        <w:t>（</w:t>
      </w:r>
      <w:r>
        <w:rPr>
          <w:color w:val="auto"/>
          <w:sz w:val="24"/>
        </w:rPr>
        <w:t>2</w:t>
      </w:r>
      <w:r>
        <w:rPr>
          <w:rFonts w:hint="eastAsia"/>
          <w:color w:val="auto"/>
          <w:sz w:val="24"/>
        </w:rPr>
        <w:t>）主体工程设计标高</w:t>
      </w:r>
    </w:p>
    <w:p>
      <w:pPr>
        <w:adjustRightInd w:val="0"/>
        <w:snapToGrid w:val="0"/>
        <w:spacing w:line="360" w:lineRule="auto"/>
        <w:ind w:firstLine="480" w:firstLineChars="200"/>
        <w:contextualSpacing/>
        <w:rPr>
          <w:color w:val="auto"/>
          <w:sz w:val="24"/>
        </w:rPr>
      </w:pPr>
      <w:r>
        <w:rPr>
          <w:rFonts w:hint="eastAsia"/>
          <w:color w:val="auto"/>
          <w:sz w:val="24"/>
        </w:rPr>
        <w:t>根据主体工程设计，二期污水处理厂区场地设计标高为2</w:t>
      </w:r>
      <w:r>
        <w:rPr>
          <w:color w:val="auto"/>
          <w:sz w:val="24"/>
        </w:rPr>
        <w:t>96.30m~308.50m</w:t>
      </w:r>
      <w:r>
        <w:rPr>
          <w:rFonts w:hint="eastAsia"/>
          <w:color w:val="auto"/>
          <w:sz w:val="24"/>
        </w:rPr>
        <w:t>，最低点位于东侧次出入口。</w:t>
      </w:r>
    </w:p>
    <w:p>
      <w:pPr>
        <w:adjustRightInd w:val="0"/>
        <w:snapToGrid w:val="0"/>
        <w:spacing w:line="360" w:lineRule="auto"/>
        <w:contextualSpacing/>
        <w:outlineLvl w:val="2"/>
        <w:rPr>
          <w:b/>
          <w:bCs/>
          <w:color w:val="auto"/>
          <w:sz w:val="28"/>
          <w:szCs w:val="28"/>
        </w:rPr>
      </w:pPr>
      <w:bookmarkStart w:id="61" w:name="_Toc521945596"/>
      <w:bookmarkStart w:id="62" w:name="_Toc342941793"/>
      <w:r>
        <w:rPr>
          <w:b/>
          <w:bCs/>
          <w:color w:val="auto"/>
          <w:sz w:val="28"/>
          <w:szCs w:val="28"/>
        </w:rPr>
        <w:t>2.1.4主体工程配套设施建设工程</w:t>
      </w:r>
    </w:p>
    <w:p>
      <w:pPr>
        <w:adjustRightInd w:val="0"/>
        <w:snapToGrid w:val="0"/>
        <w:spacing w:line="360" w:lineRule="auto"/>
        <w:ind w:firstLine="480" w:firstLineChars="200"/>
        <w:contextualSpacing/>
        <w:rPr>
          <w:color w:val="auto"/>
          <w:sz w:val="24"/>
        </w:rPr>
      </w:pPr>
      <w:r>
        <w:rPr>
          <w:color w:val="auto"/>
          <w:sz w:val="24"/>
        </w:rPr>
        <w:t>（1）给排水系统</w:t>
      </w:r>
    </w:p>
    <w:bookmarkEnd w:id="61"/>
    <w:bookmarkEnd w:id="62"/>
    <w:p>
      <w:pPr>
        <w:pStyle w:val="11"/>
        <w:adjustRightInd w:val="0"/>
        <w:snapToGrid w:val="0"/>
        <w:spacing w:after="0" w:line="360" w:lineRule="auto"/>
        <w:ind w:firstLine="480" w:firstLineChars="200"/>
        <w:contextualSpacing/>
        <w:rPr>
          <w:color w:val="auto"/>
          <w:sz w:val="24"/>
        </w:rPr>
      </w:pPr>
      <w:r>
        <w:rPr>
          <w:rFonts w:hint="eastAsia"/>
          <w:color w:val="auto"/>
          <w:sz w:val="24"/>
        </w:rPr>
        <w:t>①</w:t>
      </w:r>
      <w:r>
        <w:rPr>
          <w:color w:val="auto"/>
          <w:sz w:val="24"/>
        </w:rPr>
        <w:t>给水</w:t>
      </w:r>
    </w:p>
    <w:p>
      <w:pPr>
        <w:pStyle w:val="11"/>
        <w:adjustRightInd w:val="0"/>
        <w:snapToGrid w:val="0"/>
        <w:spacing w:line="360" w:lineRule="auto"/>
        <w:ind w:firstLine="480" w:firstLineChars="200"/>
        <w:contextualSpacing/>
        <w:rPr>
          <w:color w:val="auto"/>
          <w:sz w:val="24"/>
        </w:rPr>
      </w:pPr>
      <w:r>
        <w:rPr>
          <w:rFonts w:hint="eastAsia"/>
          <w:color w:val="auto"/>
          <w:sz w:val="24"/>
        </w:rPr>
        <w:t>本项目供水由厂区原有给水管线供给，园区周边已有供水管网接入，供水水量水压均能满足本项目的要求。。</w:t>
      </w:r>
    </w:p>
    <w:p>
      <w:pPr>
        <w:pStyle w:val="11"/>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②</w:t>
      </w:r>
      <w:r>
        <w:rPr>
          <w:color w:val="auto"/>
          <w:sz w:val="24"/>
        </w:rPr>
        <w:t>排水</w:t>
      </w:r>
    </w:p>
    <w:p>
      <w:pPr>
        <w:pStyle w:val="11"/>
        <w:adjustRightInd w:val="0"/>
        <w:snapToGrid w:val="0"/>
        <w:spacing w:line="360" w:lineRule="auto"/>
        <w:ind w:firstLine="480" w:firstLineChars="200"/>
        <w:contextualSpacing/>
        <w:rPr>
          <w:color w:val="auto"/>
          <w:sz w:val="24"/>
        </w:rPr>
      </w:pPr>
      <w:r>
        <w:rPr>
          <w:color w:val="auto"/>
          <w:sz w:val="24"/>
        </w:rPr>
        <w:t>采用雨污水分流的排水体制</w:t>
      </w:r>
      <w:r>
        <w:rPr>
          <w:rFonts w:hint="eastAsia"/>
          <w:color w:val="auto"/>
          <w:sz w:val="24"/>
        </w:rPr>
        <w:t>。生产污水排放至厂区生产排水管网，回流至格栅间重新处理；生活污水排放至厂区生活污水管网，由生活污水处理装置处理后达标排放。雨水散排至道路，排入园区雨水管网。</w:t>
      </w:r>
    </w:p>
    <w:p>
      <w:pPr>
        <w:pStyle w:val="11"/>
        <w:adjustRightInd w:val="0"/>
        <w:snapToGrid w:val="0"/>
        <w:spacing w:after="0" w:line="360" w:lineRule="auto"/>
        <w:ind w:firstLine="480" w:firstLineChars="200"/>
        <w:contextualSpacing/>
        <w:rPr>
          <w:color w:val="auto"/>
          <w:sz w:val="24"/>
        </w:rPr>
      </w:pPr>
      <w:r>
        <w:rPr>
          <w:rFonts w:hint="eastAsia" w:ascii="宋体" w:hAnsi="宋体" w:eastAsia="宋体" w:cs="宋体"/>
          <w:color w:val="auto"/>
          <w:sz w:val="24"/>
        </w:rPr>
        <w:t>③</w:t>
      </w:r>
      <w:r>
        <w:rPr>
          <w:color w:val="auto"/>
          <w:sz w:val="24"/>
        </w:rPr>
        <w:t>供暖</w:t>
      </w:r>
    </w:p>
    <w:p>
      <w:pPr>
        <w:pStyle w:val="11"/>
        <w:adjustRightInd w:val="0"/>
        <w:snapToGrid w:val="0"/>
        <w:spacing w:line="360" w:lineRule="auto"/>
        <w:ind w:firstLine="480" w:firstLineChars="200"/>
        <w:contextualSpacing/>
        <w:rPr>
          <w:color w:val="auto"/>
          <w:sz w:val="24"/>
        </w:rPr>
      </w:pPr>
      <w:r>
        <w:rPr>
          <w:color w:val="auto"/>
          <w:sz w:val="24"/>
        </w:rPr>
        <w:t>本项目</w:t>
      </w:r>
      <w:r>
        <w:rPr>
          <w:rFonts w:hint="eastAsia"/>
          <w:color w:val="auto"/>
          <w:sz w:val="24"/>
        </w:rPr>
        <w:t>主要供热由园区集中供热管网提供。</w:t>
      </w:r>
    </w:p>
    <w:p>
      <w:pPr>
        <w:pStyle w:val="11"/>
        <w:adjustRightInd w:val="0"/>
        <w:snapToGrid w:val="0"/>
        <w:spacing w:after="0" w:line="360" w:lineRule="auto"/>
        <w:ind w:firstLine="480" w:firstLineChars="200"/>
        <w:contextualSpacing/>
        <w:rPr>
          <w:color w:val="auto"/>
          <w:sz w:val="24"/>
        </w:rPr>
      </w:pPr>
      <w:r>
        <w:rPr>
          <w:rFonts w:hint="eastAsia" w:ascii="宋体" w:hAnsi="宋体" w:eastAsia="宋体" w:cs="宋体"/>
          <w:color w:val="auto"/>
          <w:sz w:val="24"/>
        </w:rPr>
        <w:t>④</w:t>
      </w:r>
      <w:r>
        <w:rPr>
          <w:color w:val="auto"/>
          <w:sz w:val="24"/>
        </w:rPr>
        <w:t>供电</w:t>
      </w:r>
    </w:p>
    <w:p>
      <w:pPr>
        <w:pStyle w:val="11"/>
        <w:adjustRightInd w:val="0"/>
        <w:snapToGrid w:val="0"/>
        <w:spacing w:line="360" w:lineRule="auto"/>
        <w:ind w:firstLine="480" w:firstLineChars="200"/>
        <w:contextualSpacing/>
        <w:rPr>
          <w:color w:val="auto"/>
          <w:sz w:val="24"/>
        </w:rPr>
      </w:pPr>
      <w:r>
        <w:rPr>
          <w:color w:val="auto"/>
          <w:sz w:val="24"/>
        </w:rPr>
        <w:t>本项目</w:t>
      </w:r>
      <w:bookmarkStart w:id="63" w:name="_Toc522647708"/>
      <w:bookmarkStart w:id="64" w:name="_Toc521945602"/>
      <w:r>
        <w:rPr>
          <w:rFonts w:hint="eastAsia"/>
          <w:color w:val="auto"/>
          <w:sz w:val="24"/>
        </w:rPr>
        <w:t>工作电源引自园区内变电站，在规划一街与规划七路交叉处。备用引自一期电源由附近电网T接，两路10kV独立电源一二期互为备用。</w:t>
      </w:r>
    </w:p>
    <w:p>
      <w:pPr>
        <w:spacing w:line="360" w:lineRule="auto"/>
        <w:contextualSpacing/>
        <w:outlineLvl w:val="1"/>
        <w:rPr>
          <w:b/>
          <w:bCs/>
          <w:color w:val="auto"/>
          <w:sz w:val="30"/>
          <w:szCs w:val="30"/>
        </w:rPr>
      </w:pPr>
      <w:bookmarkStart w:id="65" w:name="_Toc145530048"/>
      <w:r>
        <w:rPr>
          <w:b/>
          <w:bCs/>
          <w:color w:val="auto"/>
          <w:sz w:val="30"/>
          <w:szCs w:val="30"/>
        </w:rPr>
        <w:t>2.2施工组织</w:t>
      </w:r>
      <w:bookmarkEnd w:id="63"/>
      <w:bookmarkEnd w:id="64"/>
      <w:bookmarkEnd w:id="65"/>
    </w:p>
    <w:p>
      <w:pPr>
        <w:adjustRightInd w:val="0"/>
        <w:snapToGrid w:val="0"/>
        <w:spacing w:line="360" w:lineRule="auto"/>
        <w:contextualSpacing/>
        <w:outlineLvl w:val="2"/>
        <w:rPr>
          <w:b/>
          <w:bCs/>
          <w:color w:val="auto"/>
          <w:sz w:val="28"/>
          <w:szCs w:val="28"/>
        </w:rPr>
      </w:pPr>
      <w:r>
        <w:rPr>
          <w:b/>
          <w:bCs/>
          <w:color w:val="auto"/>
          <w:sz w:val="28"/>
          <w:szCs w:val="28"/>
        </w:rPr>
        <w:t>2.2.1施工条件</w:t>
      </w:r>
    </w:p>
    <w:p>
      <w:pPr>
        <w:adjustRightInd w:val="0"/>
        <w:snapToGrid w:val="0"/>
        <w:spacing w:line="360" w:lineRule="auto"/>
        <w:ind w:firstLine="480" w:firstLineChars="200"/>
        <w:contextualSpacing/>
        <w:rPr>
          <w:color w:val="auto"/>
          <w:sz w:val="24"/>
        </w:rPr>
      </w:pPr>
      <w:r>
        <w:rPr>
          <w:color w:val="auto"/>
          <w:sz w:val="24"/>
        </w:rPr>
        <w:t>（1）交通条件</w:t>
      </w:r>
    </w:p>
    <w:p>
      <w:pPr>
        <w:adjustRightInd w:val="0"/>
        <w:snapToGrid w:val="0"/>
        <w:spacing w:line="360" w:lineRule="auto"/>
        <w:ind w:firstLine="480" w:firstLineChars="200"/>
        <w:contextualSpacing/>
        <w:rPr>
          <w:color w:val="auto"/>
          <w:sz w:val="24"/>
        </w:rPr>
      </w:pPr>
      <w:r>
        <w:rPr>
          <w:color w:val="auto"/>
          <w:sz w:val="24"/>
        </w:rPr>
        <w:t>本项目位于黑龙江省</w:t>
      </w:r>
      <w:r>
        <w:rPr>
          <w:rFonts w:hint="eastAsia"/>
          <w:color w:val="auto"/>
          <w:sz w:val="24"/>
        </w:rPr>
        <w:t>鸡西市麻城区石墨产业园区</w:t>
      </w:r>
      <w:r>
        <w:rPr>
          <w:color w:val="auto"/>
          <w:sz w:val="24"/>
        </w:rPr>
        <w:t>，</w:t>
      </w:r>
      <w:r>
        <w:rPr>
          <w:rFonts w:hint="eastAsia"/>
          <w:color w:val="auto"/>
          <w:sz w:val="24"/>
        </w:rPr>
        <w:t>园区周边现有道路基本能够满足现有污水处理厂运行要求</w:t>
      </w:r>
      <w:r>
        <w:rPr>
          <w:color w:val="auto"/>
          <w:sz w:val="24"/>
        </w:rPr>
        <w:t>。建设期间，</w:t>
      </w:r>
      <w:r>
        <w:rPr>
          <w:rFonts w:hint="eastAsia"/>
          <w:color w:val="auto"/>
          <w:sz w:val="24"/>
        </w:rPr>
        <w:t>从东侧规划三路进入场地，无需修建施工便道</w:t>
      </w:r>
      <w:r>
        <w:rPr>
          <w:color w:val="auto"/>
          <w:sz w:val="24"/>
        </w:rPr>
        <w:t>。</w:t>
      </w:r>
    </w:p>
    <w:p>
      <w:pPr>
        <w:adjustRightInd w:val="0"/>
        <w:snapToGrid w:val="0"/>
        <w:spacing w:line="360" w:lineRule="auto"/>
        <w:ind w:firstLine="480" w:firstLineChars="200"/>
        <w:contextualSpacing/>
        <w:rPr>
          <w:color w:val="auto"/>
          <w:sz w:val="24"/>
        </w:rPr>
      </w:pPr>
      <w:r>
        <w:rPr>
          <w:color w:val="auto"/>
          <w:sz w:val="24"/>
        </w:rPr>
        <w:t>（2）施工用水、用电及通讯</w:t>
      </w:r>
    </w:p>
    <w:p>
      <w:pPr>
        <w:adjustRightInd w:val="0"/>
        <w:snapToGrid w:val="0"/>
        <w:spacing w:line="360" w:lineRule="auto"/>
        <w:ind w:firstLine="480" w:firstLineChars="200"/>
        <w:contextualSpacing/>
        <w:rPr>
          <w:color w:val="auto"/>
          <w:sz w:val="24"/>
        </w:rPr>
      </w:pPr>
      <w:r>
        <w:rPr>
          <w:color w:val="auto"/>
          <w:sz w:val="24"/>
        </w:rPr>
        <w:t>施工</w:t>
      </w:r>
      <w:r>
        <w:rPr>
          <w:rFonts w:hint="eastAsia"/>
          <w:color w:val="auto"/>
          <w:sz w:val="24"/>
        </w:rPr>
        <w:t>用水、用电</w:t>
      </w:r>
      <w:r>
        <w:rPr>
          <w:color w:val="auto"/>
          <w:sz w:val="24"/>
        </w:rPr>
        <w:t>直从</w:t>
      </w:r>
      <w:r>
        <w:rPr>
          <w:rFonts w:hint="eastAsia"/>
          <w:color w:val="auto"/>
          <w:sz w:val="24"/>
        </w:rPr>
        <w:t>园区内引</w:t>
      </w:r>
      <w:r>
        <w:rPr>
          <w:color w:val="auto"/>
          <w:sz w:val="24"/>
        </w:rPr>
        <w:t>接</w:t>
      </w:r>
      <w:r>
        <w:rPr>
          <w:rFonts w:hint="eastAsia"/>
          <w:color w:val="auto"/>
          <w:sz w:val="24"/>
        </w:rPr>
        <w:t>；</w:t>
      </w:r>
      <w:r>
        <w:rPr>
          <w:color w:val="auto"/>
          <w:sz w:val="24"/>
        </w:rPr>
        <w:t>该区域移动通讯网已全面覆盖，对外通讯联络便利，施工通讯使用移动通讯方式。</w:t>
      </w:r>
    </w:p>
    <w:p>
      <w:pPr>
        <w:adjustRightInd w:val="0"/>
        <w:snapToGrid w:val="0"/>
        <w:spacing w:line="360" w:lineRule="auto"/>
        <w:contextualSpacing/>
        <w:outlineLvl w:val="2"/>
        <w:rPr>
          <w:b/>
          <w:bCs/>
          <w:color w:val="auto"/>
          <w:sz w:val="28"/>
          <w:szCs w:val="28"/>
        </w:rPr>
      </w:pPr>
      <w:r>
        <w:rPr>
          <w:b/>
          <w:bCs/>
          <w:color w:val="auto"/>
          <w:sz w:val="28"/>
          <w:szCs w:val="28"/>
        </w:rPr>
        <w:t>2.2.2建筑材料</w:t>
      </w:r>
    </w:p>
    <w:p>
      <w:pPr>
        <w:adjustRightInd w:val="0"/>
        <w:snapToGrid w:val="0"/>
        <w:spacing w:line="360" w:lineRule="auto"/>
        <w:ind w:firstLine="480" w:firstLineChars="200"/>
        <w:contextualSpacing/>
        <w:rPr>
          <w:color w:val="auto"/>
          <w:sz w:val="24"/>
        </w:rPr>
      </w:pPr>
      <w:r>
        <w:rPr>
          <w:color w:val="auto"/>
          <w:sz w:val="24"/>
        </w:rPr>
        <w:t>工程建设所需要的砖、水泥砂等筑材料均外购，施工单位买时选择具合法经营手续的材料供应单位，并在采购同中明确各自水土流失防治责任，各材料供应单位负责其自身生产造成的水土流失。</w:t>
      </w:r>
    </w:p>
    <w:p>
      <w:pPr>
        <w:adjustRightInd w:val="0"/>
        <w:snapToGrid w:val="0"/>
        <w:spacing w:line="360" w:lineRule="auto"/>
        <w:contextualSpacing/>
        <w:outlineLvl w:val="2"/>
        <w:rPr>
          <w:b/>
          <w:bCs/>
          <w:color w:val="auto"/>
          <w:sz w:val="28"/>
          <w:szCs w:val="28"/>
        </w:rPr>
      </w:pPr>
      <w:r>
        <w:rPr>
          <w:b/>
          <w:bCs/>
          <w:color w:val="auto"/>
          <w:sz w:val="28"/>
          <w:szCs w:val="28"/>
        </w:rPr>
        <w:t>2.2.3施工总布置</w:t>
      </w:r>
    </w:p>
    <w:p>
      <w:pPr>
        <w:adjustRightInd w:val="0"/>
        <w:snapToGrid w:val="0"/>
        <w:spacing w:line="360" w:lineRule="auto"/>
        <w:ind w:firstLine="480" w:firstLineChars="200"/>
        <w:contextualSpacing/>
        <w:rPr>
          <w:color w:val="auto"/>
          <w:sz w:val="24"/>
        </w:rPr>
      </w:pPr>
      <w:r>
        <w:rPr>
          <w:color w:val="auto"/>
          <w:sz w:val="24"/>
        </w:rPr>
        <w:t>（1）施工生活区</w:t>
      </w:r>
    </w:p>
    <w:p>
      <w:pPr>
        <w:adjustRightInd w:val="0"/>
        <w:snapToGrid w:val="0"/>
        <w:spacing w:line="360" w:lineRule="auto"/>
        <w:ind w:firstLine="480" w:firstLineChars="200"/>
        <w:contextualSpacing/>
        <w:rPr>
          <w:color w:val="auto"/>
          <w:sz w:val="24"/>
        </w:rPr>
      </w:pPr>
      <w:r>
        <w:rPr>
          <w:rFonts w:hint="eastAsia"/>
          <w:color w:val="auto"/>
          <w:sz w:val="24"/>
        </w:rPr>
        <w:t>本项目施工人员为附近居民，场地不设施工生活区</w:t>
      </w:r>
      <w:r>
        <w:rPr>
          <w:color w:val="auto"/>
          <w:sz w:val="24"/>
        </w:rPr>
        <w:t>。</w:t>
      </w:r>
    </w:p>
    <w:p>
      <w:pPr>
        <w:adjustRightInd w:val="0"/>
        <w:snapToGrid w:val="0"/>
        <w:spacing w:line="360" w:lineRule="auto"/>
        <w:ind w:firstLine="480" w:firstLineChars="200"/>
        <w:contextualSpacing/>
        <w:rPr>
          <w:color w:val="auto"/>
          <w:sz w:val="24"/>
        </w:rPr>
      </w:pPr>
      <w:r>
        <w:rPr>
          <w:color w:val="auto"/>
          <w:sz w:val="24"/>
        </w:rPr>
        <w:t>（2）施工</w:t>
      </w:r>
      <w:r>
        <w:rPr>
          <w:rFonts w:hint="eastAsia"/>
          <w:color w:val="auto"/>
          <w:sz w:val="24"/>
        </w:rPr>
        <w:t>生产</w:t>
      </w:r>
      <w:r>
        <w:rPr>
          <w:color w:val="auto"/>
          <w:sz w:val="24"/>
        </w:rPr>
        <w:t>区</w:t>
      </w:r>
    </w:p>
    <w:p>
      <w:pPr>
        <w:adjustRightInd w:val="0"/>
        <w:snapToGrid w:val="0"/>
        <w:spacing w:line="360" w:lineRule="auto"/>
        <w:ind w:firstLine="480" w:firstLineChars="200"/>
        <w:contextualSpacing/>
        <w:rPr>
          <w:color w:val="auto"/>
          <w:sz w:val="24"/>
        </w:rPr>
      </w:pPr>
      <w:r>
        <w:rPr>
          <w:color w:val="auto"/>
          <w:sz w:val="24"/>
        </w:rPr>
        <w:t>施工生产区主要为项目内建设材料、设备堆放场地。</w:t>
      </w:r>
      <w:r>
        <w:rPr>
          <w:rFonts w:hint="eastAsia"/>
          <w:color w:val="auto"/>
          <w:sz w:val="24"/>
        </w:rPr>
        <w:t>本项目共布设两块施工生产区，</w:t>
      </w:r>
      <w:r>
        <w:rPr>
          <w:color w:val="auto"/>
          <w:sz w:val="24"/>
        </w:rPr>
        <w:t>位于</w:t>
      </w:r>
      <w:r>
        <w:rPr>
          <w:rFonts w:hint="eastAsia"/>
          <w:color w:val="auto"/>
          <w:sz w:val="24"/>
        </w:rPr>
        <w:t>综合楼南侧及预处理池北侧</w:t>
      </w:r>
      <w:r>
        <w:rPr>
          <w:color w:val="auto"/>
          <w:sz w:val="24"/>
        </w:rPr>
        <w:t>，</w:t>
      </w:r>
      <w:r>
        <w:rPr>
          <w:rFonts w:hint="eastAsia"/>
          <w:color w:val="auto"/>
          <w:sz w:val="24"/>
        </w:rPr>
        <w:t>临时占用道路地面硬化区和绿化区，</w:t>
      </w:r>
      <w:r>
        <w:rPr>
          <w:color w:val="auto"/>
          <w:sz w:val="24"/>
        </w:rPr>
        <w:t>面积</w:t>
      </w:r>
      <w:r>
        <w:rPr>
          <w:rFonts w:hint="eastAsia"/>
          <w:color w:val="auto"/>
          <w:sz w:val="24"/>
        </w:rPr>
        <w:t>约</w:t>
      </w:r>
      <w:r>
        <w:rPr>
          <w:color w:val="auto"/>
          <w:sz w:val="24"/>
        </w:rPr>
        <w:t>0.10hm</w:t>
      </w:r>
      <w:r>
        <w:rPr>
          <w:color w:val="auto"/>
          <w:sz w:val="24"/>
          <w:vertAlign w:val="superscript"/>
        </w:rPr>
        <w:t>2</w:t>
      </w:r>
      <w:r>
        <w:rPr>
          <w:color w:val="auto"/>
          <w:sz w:val="24"/>
        </w:rPr>
        <w:t>，</w:t>
      </w:r>
      <w:r>
        <w:rPr>
          <w:rFonts w:hint="eastAsia"/>
          <w:color w:val="auto"/>
          <w:sz w:val="24"/>
        </w:rPr>
        <w:t>属重复占地</w:t>
      </w:r>
      <w:r>
        <w:rPr>
          <w:color w:val="auto"/>
          <w:sz w:val="24"/>
        </w:rPr>
        <w:t>。</w:t>
      </w:r>
    </w:p>
    <w:p>
      <w:pPr>
        <w:adjustRightInd w:val="0"/>
        <w:snapToGrid w:val="0"/>
        <w:spacing w:line="360" w:lineRule="auto"/>
        <w:contextualSpacing/>
        <w:outlineLvl w:val="2"/>
        <w:rPr>
          <w:b/>
          <w:bCs/>
          <w:color w:val="auto"/>
          <w:sz w:val="28"/>
          <w:szCs w:val="28"/>
        </w:rPr>
      </w:pPr>
      <w:r>
        <w:rPr>
          <w:b/>
          <w:bCs/>
          <w:color w:val="auto"/>
          <w:sz w:val="28"/>
          <w:szCs w:val="28"/>
        </w:rPr>
        <w:t>2.2.4取土（石、砂）场布设</w:t>
      </w:r>
    </w:p>
    <w:p>
      <w:pPr>
        <w:adjustRightInd w:val="0"/>
        <w:snapToGrid w:val="0"/>
        <w:spacing w:line="360" w:lineRule="auto"/>
        <w:ind w:firstLine="480" w:firstLineChars="200"/>
        <w:contextualSpacing/>
        <w:rPr>
          <w:color w:val="auto"/>
          <w:sz w:val="24"/>
        </w:rPr>
      </w:pPr>
      <w:r>
        <w:rPr>
          <w:color w:val="auto"/>
          <w:sz w:val="24"/>
        </w:rPr>
        <w:t>本项目无取土（石、砂）场布设。</w:t>
      </w:r>
    </w:p>
    <w:p>
      <w:pPr>
        <w:adjustRightInd w:val="0"/>
        <w:snapToGrid w:val="0"/>
        <w:spacing w:line="360" w:lineRule="auto"/>
        <w:contextualSpacing/>
        <w:outlineLvl w:val="2"/>
        <w:rPr>
          <w:b/>
          <w:bCs/>
          <w:color w:val="auto"/>
          <w:sz w:val="28"/>
          <w:szCs w:val="28"/>
        </w:rPr>
      </w:pPr>
      <w:r>
        <w:rPr>
          <w:b/>
          <w:bCs/>
          <w:color w:val="auto"/>
          <w:sz w:val="28"/>
          <w:szCs w:val="28"/>
        </w:rPr>
        <w:t>2.2.5弃土（石、渣）场布设</w:t>
      </w:r>
    </w:p>
    <w:p>
      <w:pPr>
        <w:adjustRightInd w:val="0"/>
        <w:snapToGrid w:val="0"/>
        <w:spacing w:line="360" w:lineRule="auto"/>
        <w:ind w:firstLine="480" w:firstLineChars="200"/>
        <w:contextualSpacing/>
        <w:rPr>
          <w:color w:val="auto"/>
          <w:sz w:val="24"/>
        </w:rPr>
      </w:pPr>
      <w:r>
        <w:rPr>
          <w:color w:val="auto"/>
          <w:sz w:val="24"/>
        </w:rPr>
        <w:t>本项目无弃土（石、渣）场布设。</w:t>
      </w:r>
    </w:p>
    <w:p>
      <w:pPr>
        <w:adjustRightInd w:val="0"/>
        <w:snapToGrid w:val="0"/>
        <w:spacing w:line="360" w:lineRule="auto"/>
        <w:contextualSpacing/>
        <w:outlineLvl w:val="2"/>
        <w:rPr>
          <w:b/>
          <w:bCs/>
          <w:color w:val="auto"/>
          <w:sz w:val="28"/>
          <w:szCs w:val="28"/>
        </w:rPr>
      </w:pPr>
      <w:r>
        <w:rPr>
          <w:b/>
          <w:bCs/>
          <w:color w:val="auto"/>
          <w:sz w:val="28"/>
          <w:szCs w:val="28"/>
        </w:rPr>
        <w:t>2.2.6临时堆土区</w:t>
      </w:r>
    </w:p>
    <w:p>
      <w:pPr>
        <w:pStyle w:val="11"/>
        <w:snapToGrid w:val="0"/>
        <w:spacing w:after="0" w:line="360" w:lineRule="auto"/>
        <w:ind w:firstLine="480" w:firstLineChars="200"/>
        <w:contextualSpacing/>
        <w:rPr>
          <w:color w:val="auto"/>
          <w:sz w:val="24"/>
        </w:rPr>
      </w:pPr>
      <w:r>
        <w:rPr>
          <w:rFonts w:hint="eastAsia"/>
          <w:color w:val="auto"/>
          <w:sz w:val="24"/>
        </w:rPr>
        <w:t>根据地勘报告，本区域表层土为杂填土，无可剥离的表土，但本项目施工过程中不可避免会有移动周转土方的临时堆放，基坑开挖的土方就近堆放在施工建筑附近不影响施工的区域，通过合理施工时序安排，缩短周转土方临时堆放时间，同时对其采用苫布覆盖，四周用石块压实，基础施工完后立即回填。</w:t>
      </w:r>
    </w:p>
    <w:p>
      <w:pPr>
        <w:pStyle w:val="11"/>
        <w:snapToGrid w:val="0"/>
        <w:spacing w:after="0" w:line="360" w:lineRule="auto"/>
        <w:ind w:firstLine="480" w:firstLineChars="200"/>
        <w:contextualSpacing/>
        <w:rPr>
          <w:color w:val="auto"/>
          <w:sz w:val="24"/>
        </w:rPr>
      </w:pPr>
      <w:r>
        <w:rPr>
          <w:rFonts w:hint="eastAsia"/>
          <w:color w:val="auto"/>
          <w:sz w:val="24"/>
        </w:rPr>
        <w:t>园区管网施工时土方随挖随填，开挖的土方就近沿管线旁堆放，位于管道作业带内，对其采用苫布覆盖，管线敷设后随即回填，故不专门设置临时堆土区。</w:t>
      </w:r>
    </w:p>
    <w:p>
      <w:pPr>
        <w:adjustRightInd w:val="0"/>
        <w:snapToGrid w:val="0"/>
        <w:spacing w:line="360" w:lineRule="auto"/>
        <w:contextualSpacing/>
        <w:outlineLvl w:val="2"/>
        <w:rPr>
          <w:b/>
          <w:bCs/>
          <w:color w:val="auto"/>
          <w:sz w:val="28"/>
          <w:szCs w:val="28"/>
        </w:rPr>
      </w:pPr>
      <w:r>
        <w:rPr>
          <w:b/>
          <w:bCs/>
          <w:color w:val="auto"/>
          <w:sz w:val="28"/>
          <w:szCs w:val="28"/>
        </w:rPr>
        <w:t>2.2.7施工方法与工艺</w:t>
      </w:r>
    </w:p>
    <w:p>
      <w:pPr>
        <w:adjustRightInd w:val="0"/>
        <w:snapToGrid w:val="0"/>
        <w:spacing w:line="360" w:lineRule="auto"/>
        <w:ind w:firstLine="480" w:firstLineChars="200"/>
        <w:contextualSpacing/>
        <w:rPr>
          <w:color w:val="auto"/>
          <w:sz w:val="24"/>
        </w:rPr>
      </w:pPr>
      <w:bookmarkStart w:id="66" w:name="_Toc522647709"/>
      <w:bookmarkStart w:id="67" w:name="_Toc521945605"/>
      <w:r>
        <w:rPr>
          <w:color w:val="auto"/>
          <w:sz w:val="24"/>
        </w:rPr>
        <w:t>(1)主体建筑施工工艺</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①</w:t>
      </w:r>
      <w:r>
        <w:rPr>
          <w:color w:val="auto"/>
          <w:sz w:val="24"/>
        </w:rPr>
        <w:t>地基与基础：挖基坑、做垫层、做基础；</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②</w:t>
      </w:r>
      <w:r>
        <w:rPr>
          <w:color w:val="auto"/>
          <w:sz w:val="24"/>
        </w:rPr>
        <w:t>做完基础后回填；</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③</w:t>
      </w:r>
      <w:r>
        <w:rPr>
          <w:color w:val="auto"/>
          <w:sz w:val="24"/>
        </w:rPr>
        <w:t>主体建筑：按照设计要求进行，从基础圈梁开始，绑筋、支模、浇筑，一直到建构筑物封顶。</w:t>
      </w:r>
    </w:p>
    <w:p>
      <w:pPr>
        <w:adjustRightInd w:val="0"/>
        <w:snapToGrid w:val="0"/>
        <w:spacing w:line="360" w:lineRule="auto"/>
        <w:ind w:firstLine="480" w:firstLineChars="200"/>
        <w:contextualSpacing/>
        <w:rPr>
          <w:color w:val="auto"/>
          <w:sz w:val="24"/>
        </w:rPr>
      </w:pPr>
      <w:r>
        <w:rPr>
          <w:color w:val="auto"/>
          <w:sz w:val="24"/>
        </w:rPr>
        <w:t>基础开挖及回填：建筑基础开挖采用机械化开挖，反铲挖掘机挖土，推土机配合下进行联合作业，根据施工机械和开挖深度情况，挖至一定深度，改用人工开挖，避免扰动原状土。开挖的土方</w:t>
      </w:r>
      <w:r>
        <w:rPr>
          <w:rFonts w:hint="eastAsia"/>
          <w:color w:val="auto"/>
          <w:sz w:val="24"/>
        </w:rPr>
        <w:t>就近堆放</w:t>
      </w:r>
      <w:r>
        <w:rPr>
          <w:color w:val="auto"/>
          <w:sz w:val="24"/>
        </w:rPr>
        <w:t>，</w:t>
      </w:r>
      <w:r>
        <w:rPr>
          <w:rFonts w:hint="eastAsia"/>
          <w:color w:val="auto"/>
          <w:sz w:val="24"/>
        </w:rPr>
        <w:t>用于</w:t>
      </w:r>
      <w:r>
        <w:rPr>
          <w:color w:val="auto"/>
          <w:sz w:val="24"/>
        </w:rPr>
        <w:t>基槽回填。回填采用机械和人工相结合的方法，土方由挖掘机装土，自卸汽车运土，推土机铺土、摊平，用振动碾压机碾压，边缘压实不到之处，辅以人工和电动冲击夯实。小型建构筑物均进行人工开挖，开挖量较小。</w:t>
      </w:r>
    </w:p>
    <w:p>
      <w:pPr>
        <w:adjustRightInd w:val="0"/>
        <w:snapToGrid w:val="0"/>
        <w:spacing w:line="360" w:lineRule="auto"/>
        <w:ind w:firstLine="480" w:firstLineChars="200"/>
        <w:contextualSpacing/>
        <w:rPr>
          <w:color w:val="auto"/>
          <w:sz w:val="24"/>
        </w:rPr>
      </w:pPr>
      <w:r>
        <w:rPr>
          <w:color w:val="auto"/>
          <w:sz w:val="24"/>
        </w:rPr>
        <w:t>(2)道路施工工艺</w:t>
      </w:r>
    </w:p>
    <w:p>
      <w:pPr>
        <w:adjustRightInd w:val="0"/>
        <w:snapToGrid w:val="0"/>
        <w:spacing w:line="360" w:lineRule="auto"/>
        <w:ind w:firstLine="480" w:firstLineChars="200"/>
        <w:contextualSpacing/>
        <w:rPr>
          <w:color w:val="auto"/>
          <w:sz w:val="24"/>
        </w:rPr>
      </w:pPr>
      <w:r>
        <w:rPr>
          <w:color w:val="auto"/>
          <w:sz w:val="24"/>
        </w:rPr>
        <w:t>路槽开挖：按设计线进行，保证路基宽度，开发前做好排水设施，确保路面不积水。整修路基应根据设计纵向高程清理土方，对凸凹部分用刮平机填补刮平，局部机械整修不到之处用人工找补平整。</w:t>
      </w:r>
    </w:p>
    <w:p>
      <w:pPr>
        <w:adjustRightInd w:val="0"/>
        <w:snapToGrid w:val="0"/>
        <w:spacing w:line="360" w:lineRule="auto"/>
        <w:ind w:firstLine="480" w:firstLineChars="200"/>
        <w:contextualSpacing/>
        <w:rPr>
          <w:color w:val="auto"/>
          <w:sz w:val="24"/>
        </w:rPr>
      </w:pPr>
      <w:r>
        <w:rPr>
          <w:color w:val="auto"/>
          <w:sz w:val="24"/>
        </w:rPr>
        <w:t>路基碾压：路槽开挖用平地机将路床整平完成后，进行路床碾轧施工工序，在进行路床碾压时应注意到，影响压实效果的主要因素。</w:t>
      </w:r>
    </w:p>
    <w:p>
      <w:pPr>
        <w:adjustRightInd w:val="0"/>
        <w:snapToGrid w:val="0"/>
        <w:spacing w:line="360" w:lineRule="auto"/>
        <w:ind w:firstLine="480" w:firstLineChars="200"/>
        <w:contextualSpacing/>
        <w:rPr>
          <w:color w:val="auto"/>
          <w:sz w:val="24"/>
        </w:rPr>
      </w:pPr>
      <w:r>
        <w:rPr>
          <w:color w:val="auto"/>
          <w:sz w:val="24"/>
        </w:rPr>
        <w:t>路面施工：施工前对基层再次进行全面检查，严格把关，以防质量隐患。采用沥青洒布车自动洒布。沥青用量确定并经监理工程师同意后正式施工。</w:t>
      </w:r>
    </w:p>
    <w:p>
      <w:pPr>
        <w:adjustRightInd w:val="0"/>
        <w:snapToGrid w:val="0"/>
        <w:spacing w:line="360" w:lineRule="auto"/>
        <w:ind w:firstLine="480" w:firstLineChars="200"/>
        <w:contextualSpacing/>
        <w:rPr>
          <w:color w:val="auto"/>
          <w:sz w:val="24"/>
        </w:rPr>
      </w:pPr>
      <w:r>
        <w:rPr>
          <w:color w:val="auto"/>
          <w:sz w:val="24"/>
        </w:rPr>
        <w:t>施工时要防止沥青对构造物的污染，施工时应注意保护侧平石、人行道板以免影响道路的美观，封层施工后尽量减少车辆通行。</w:t>
      </w:r>
    </w:p>
    <w:p>
      <w:pPr>
        <w:adjustRightInd w:val="0"/>
        <w:snapToGrid w:val="0"/>
        <w:spacing w:line="360" w:lineRule="auto"/>
        <w:ind w:firstLine="480" w:firstLineChars="200"/>
        <w:contextualSpacing/>
        <w:rPr>
          <w:color w:val="auto"/>
          <w:sz w:val="24"/>
        </w:rPr>
      </w:pPr>
      <w:r>
        <w:rPr>
          <w:color w:val="auto"/>
          <w:sz w:val="24"/>
        </w:rPr>
        <w:t>(3)各类管沟工程</w:t>
      </w:r>
    </w:p>
    <w:p>
      <w:pPr>
        <w:adjustRightInd w:val="0"/>
        <w:snapToGrid w:val="0"/>
        <w:spacing w:line="360" w:lineRule="auto"/>
        <w:ind w:firstLine="480" w:firstLineChars="200"/>
        <w:contextualSpacing/>
        <w:rPr>
          <w:color w:val="auto"/>
          <w:sz w:val="24"/>
        </w:rPr>
      </w:pPr>
      <w:r>
        <w:rPr>
          <w:color w:val="auto"/>
          <w:sz w:val="24"/>
        </w:rPr>
        <w:t>区内各类管沟根据开挖断面尺寸，采取1m</w:t>
      </w:r>
      <w:r>
        <w:rPr>
          <w:color w:val="auto"/>
          <w:sz w:val="24"/>
          <w:vertAlign w:val="superscript"/>
        </w:rPr>
        <w:t>3</w:t>
      </w:r>
      <w:r>
        <w:rPr>
          <w:color w:val="auto"/>
          <w:sz w:val="24"/>
        </w:rPr>
        <w:t xml:space="preserve"> 或0.5m</w:t>
      </w:r>
      <w:r>
        <w:rPr>
          <w:color w:val="auto"/>
          <w:sz w:val="24"/>
          <w:vertAlign w:val="superscript"/>
        </w:rPr>
        <w:t>3</w:t>
      </w:r>
      <w:r>
        <w:rPr>
          <w:color w:val="auto"/>
          <w:sz w:val="24"/>
        </w:rPr>
        <w:t>反铲挖掘机开挖，开挖土方在沟道一侧临时堆置，管道埋设后，用推土机回填土方并平整场地。</w:t>
      </w:r>
    </w:p>
    <w:p>
      <w:pPr>
        <w:adjustRightInd w:val="0"/>
        <w:snapToGrid w:val="0"/>
        <w:spacing w:line="360" w:lineRule="auto"/>
        <w:ind w:firstLine="480" w:firstLineChars="200"/>
        <w:contextualSpacing/>
        <w:rPr>
          <w:color w:val="auto"/>
          <w:sz w:val="24"/>
        </w:rPr>
      </w:pPr>
      <w:r>
        <w:rPr>
          <w:color w:val="auto"/>
          <w:sz w:val="24"/>
        </w:rPr>
        <w:t>(4)硬化施工</w:t>
      </w:r>
    </w:p>
    <w:p>
      <w:pPr>
        <w:adjustRightInd w:val="0"/>
        <w:snapToGrid w:val="0"/>
        <w:spacing w:line="360" w:lineRule="auto"/>
        <w:ind w:firstLine="480" w:firstLineChars="200"/>
        <w:contextualSpacing/>
        <w:rPr>
          <w:color w:val="auto"/>
          <w:sz w:val="24"/>
        </w:rPr>
      </w:pPr>
      <w:r>
        <w:rPr>
          <w:color w:val="auto"/>
          <w:sz w:val="24"/>
        </w:rPr>
        <w:t>区内硬化施工首先对基础进行处理，然后进行回填砂，摊铺平整后进行机械压实，面层修整。压实修整完成后进行地面砼施工。地面砼施工流程如下：施工放线→定位放线（伸缩缝位置和地面控制标高）→支侧模→混凝土（人工）摊铺→振桥振捣和粗平→细部振动棒振捣→细刮（主要是细部的处理）→人工收浆→养护。</w:t>
      </w:r>
    </w:p>
    <w:p>
      <w:pPr>
        <w:adjustRightInd w:val="0"/>
        <w:snapToGrid w:val="0"/>
        <w:spacing w:line="360" w:lineRule="auto"/>
        <w:ind w:firstLine="480" w:firstLineChars="200"/>
        <w:contextualSpacing/>
        <w:rPr>
          <w:color w:val="auto"/>
          <w:sz w:val="24"/>
        </w:rPr>
      </w:pPr>
      <w:r>
        <w:rPr>
          <w:color w:val="auto"/>
          <w:sz w:val="24"/>
        </w:rPr>
        <w:t>(5)</w:t>
      </w:r>
      <w:r>
        <w:rPr>
          <w:rFonts w:hint="eastAsia"/>
          <w:color w:val="auto"/>
          <w:sz w:val="24"/>
        </w:rPr>
        <w:t>绿化施工</w:t>
      </w:r>
    </w:p>
    <w:p>
      <w:pPr>
        <w:adjustRightInd w:val="0"/>
        <w:snapToGrid w:val="0"/>
        <w:spacing w:line="360" w:lineRule="auto"/>
        <w:ind w:firstLine="480" w:firstLineChars="200"/>
        <w:contextualSpacing/>
        <w:rPr>
          <w:color w:val="auto"/>
          <w:sz w:val="24"/>
        </w:rPr>
      </w:pPr>
      <w:r>
        <w:rPr>
          <w:color w:val="auto"/>
          <w:sz w:val="24"/>
        </w:rPr>
        <w:t>项目建设区内裸露地表应及时得到绿化，尽量缩短地表裸露时间，减少水土流失。施工结束后，对场地杂物、建筑垃圾等进行清理，再土地平整（微地形处理）及绿化覆土，最后绿化种植，浇水保湿。</w:t>
      </w:r>
    </w:p>
    <w:p>
      <w:pPr>
        <w:spacing w:line="360" w:lineRule="auto"/>
        <w:contextualSpacing/>
        <w:outlineLvl w:val="1"/>
        <w:rPr>
          <w:b/>
          <w:bCs/>
          <w:color w:val="auto"/>
          <w:sz w:val="30"/>
          <w:szCs w:val="30"/>
        </w:rPr>
      </w:pPr>
      <w:bookmarkStart w:id="68" w:name="_Toc145530049"/>
      <w:r>
        <w:rPr>
          <w:b/>
          <w:bCs/>
          <w:color w:val="auto"/>
          <w:sz w:val="30"/>
          <w:szCs w:val="30"/>
        </w:rPr>
        <w:t>2.3工程占地</w:t>
      </w:r>
      <w:bookmarkEnd w:id="66"/>
      <w:bookmarkEnd w:id="67"/>
      <w:bookmarkEnd w:id="68"/>
    </w:p>
    <w:p>
      <w:pPr>
        <w:spacing w:line="360" w:lineRule="auto"/>
        <w:ind w:firstLine="480" w:firstLineChars="200"/>
        <w:contextualSpacing/>
        <w:rPr>
          <w:color w:val="auto"/>
          <w:sz w:val="24"/>
        </w:rPr>
      </w:pPr>
      <w:r>
        <w:rPr>
          <w:color w:val="auto"/>
          <w:sz w:val="24"/>
        </w:rPr>
        <w:t>项目总占地面积为4.19hm</w:t>
      </w:r>
      <w:r>
        <w:rPr>
          <w:color w:val="auto"/>
          <w:sz w:val="24"/>
          <w:vertAlign w:val="superscript"/>
        </w:rPr>
        <w:t>2</w:t>
      </w:r>
      <w:r>
        <w:rPr>
          <w:color w:val="auto"/>
          <w:sz w:val="24"/>
        </w:rPr>
        <w:t>，</w:t>
      </w:r>
      <w:r>
        <w:rPr>
          <w:rFonts w:hint="eastAsia"/>
          <w:color w:val="auto"/>
          <w:sz w:val="24"/>
        </w:rPr>
        <w:t>其中永久占地3</w:t>
      </w:r>
      <w:r>
        <w:rPr>
          <w:color w:val="auto"/>
          <w:sz w:val="24"/>
        </w:rPr>
        <w:t>.00hm</w:t>
      </w:r>
      <w:r>
        <w:rPr>
          <w:color w:val="auto"/>
          <w:sz w:val="24"/>
          <w:vertAlign w:val="superscript"/>
        </w:rPr>
        <w:t>2</w:t>
      </w:r>
      <w:r>
        <w:rPr>
          <w:rFonts w:hint="eastAsia"/>
          <w:color w:val="auto"/>
          <w:sz w:val="24"/>
        </w:rPr>
        <w:t>，临时占地1</w:t>
      </w:r>
      <w:r>
        <w:rPr>
          <w:color w:val="auto"/>
          <w:sz w:val="24"/>
        </w:rPr>
        <w:t>.19hm</w:t>
      </w:r>
      <w:r>
        <w:rPr>
          <w:color w:val="auto"/>
          <w:sz w:val="24"/>
          <w:vertAlign w:val="superscript"/>
        </w:rPr>
        <w:t>2</w:t>
      </w:r>
      <w:r>
        <w:rPr>
          <w:rFonts w:hint="eastAsia"/>
          <w:color w:val="auto"/>
          <w:sz w:val="24"/>
        </w:rPr>
        <w:t>；占地类型为公共管理与公共服务用地和其他林地，其中公共管理与公共服务用地3</w:t>
      </w:r>
      <w:r>
        <w:rPr>
          <w:color w:val="auto"/>
          <w:sz w:val="24"/>
        </w:rPr>
        <w:t>.00hm</w:t>
      </w:r>
      <w:r>
        <w:rPr>
          <w:color w:val="auto"/>
          <w:sz w:val="24"/>
          <w:vertAlign w:val="superscript"/>
        </w:rPr>
        <w:t>2</w:t>
      </w:r>
      <w:r>
        <w:rPr>
          <w:rFonts w:hint="eastAsia"/>
          <w:color w:val="auto"/>
          <w:sz w:val="24"/>
        </w:rPr>
        <w:t>，其他林地1</w:t>
      </w:r>
      <w:r>
        <w:rPr>
          <w:color w:val="auto"/>
          <w:sz w:val="24"/>
        </w:rPr>
        <w:t>.19hm</w:t>
      </w:r>
      <w:r>
        <w:rPr>
          <w:color w:val="auto"/>
          <w:sz w:val="24"/>
          <w:vertAlign w:val="superscript"/>
        </w:rPr>
        <w:t>2</w:t>
      </w:r>
      <w:r>
        <w:rPr>
          <w:rFonts w:hint="eastAsia"/>
          <w:color w:val="auto"/>
          <w:sz w:val="24"/>
        </w:rPr>
        <w:t>。详见表2</w:t>
      </w:r>
      <w:r>
        <w:rPr>
          <w:color w:val="auto"/>
          <w:sz w:val="24"/>
        </w:rPr>
        <w:t>.3-1</w:t>
      </w:r>
      <w:r>
        <w:rPr>
          <w:rFonts w:hint="eastAsia"/>
          <w:color w:val="auto"/>
          <w:sz w:val="24"/>
        </w:rPr>
        <w:t>。</w:t>
      </w:r>
    </w:p>
    <w:p>
      <w:pPr>
        <w:pStyle w:val="11"/>
        <w:adjustRightInd w:val="0"/>
        <w:snapToGrid w:val="0"/>
        <w:spacing w:after="0" w:line="300" w:lineRule="auto"/>
        <w:ind w:right="422"/>
        <w:contextualSpacing/>
        <w:jc w:val="right"/>
        <w:rPr>
          <w:b/>
          <w:color w:val="auto"/>
          <w:sz w:val="21"/>
          <w:szCs w:val="21"/>
        </w:rPr>
      </w:pPr>
      <w:r>
        <w:rPr>
          <w:b/>
          <w:color w:val="auto"/>
          <w:sz w:val="21"/>
          <w:szCs w:val="21"/>
        </w:rPr>
        <w:t>表2.3-1</w:t>
      </w:r>
      <w:bookmarkStart w:id="69" w:name="_Hlk45891411"/>
      <w:r>
        <w:rPr>
          <w:b/>
          <w:color w:val="auto"/>
          <w:sz w:val="21"/>
          <w:szCs w:val="21"/>
        </w:rPr>
        <w:t>工程占地情况                单位：hm</w:t>
      </w:r>
      <w:r>
        <w:rPr>
          <w:b/>
          <w:color w:val="auto"/>
          <w:sz w:val="21"/>
          <w:szCs w:val="21"/>
          <w:vertAlign w:val="superscript"/>
        </w:rPr>
        <w:t>2</w:t>
      </w:r>
      <w:r>
        <w:rPr>
          <w:b/>
          <w:color w:val="auto"/>
          <w:sz w:val="21"/>
          <w:szCs w:val="21"/>
        </w:rPr>
        <w:t xml:space="preserve">  </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2"/>
        <w:gridCol w:w="1019"/>
        <w:gridCol w:w="1577"/>
        <w:gridCol w:w="1417"/>
        <w:gridCol w:w="1419"/>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1003" w:type="pct"/>
            <w:vMerge w:val="restart"/>
            <w:shd w:val="clear" w:color="auto" w:fill="auto"/>
            <w:noWrap/>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区域名称</w:t>
            </w:r>
          </w:p>
        </w:tc>
        <w:tc>
          <w:tcPr>
            <w:tcW w:w="611" w:type="pct"/>
            <w:vMerge w:val="restart"/>
            <w:shd w:val="clear" w:color="auto" w:fill="auto"/>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占地面积</w:t>
            </w:r>
          </w:p>
        </w:tc>
        <w:tc>
          <w:tcPr>
            <w:tcW w:w="1796" w:type="pct"/>
            <w:gridSpan w:val="2"/>
            <w:shd w:val="clear" w:color="auto" w:fill="auto"/>
            <w:tcMar>
              <w:top w:w="15" w:type="dxa"/>
              <w:left w:w="15" w:type="dxa"/>
              <w:right w:w="15" w:type="dxa"/>
            </w:tcMar>
            <w:vAlign w:val="center"/>
          </w:tcPr>
          <w:p>
            <w:pPr>
              <w:widowControl/>
              <w:contextualSpacing/>
              <w:jc w:val="center"/>
              <w:textAlignment w:val="center"/>
              <w:rPr>
                <w:color w:val="auto"/>
                <w:kern w:val="0"/>
                <w:sz w:val="21"/>
                <w:szCs w:val="21"/>
                <w:lang w:bidi="ar"/>
              </w:rPr>
            </w:pPr>
            <w:r>
              <w:rPr>
                <w:color w:val="auto"/>
                <w:kern w:val="0"/>
                <w:sz w:val="21"/>
                <w:szCs w:val="21"/>
                <w:lang w:bidi="ar"/>
              </w:rPr>
              <w:t>占地类型</w:t>
            </w:r>
          </w:p>
        </w:tc>
        <w:tc>
          <w:tcPr>
            <w:tcW w:w="1590" w:type="pct"/>
            <w:gridSpan w:val="2"/>
            <w:shd w:val="clear" w:color="auto" w:fill="auto"/>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vMerge w:val="continue"/>
            <w:shd w:val="clear" w:color="auto" w:fill="auto"/>
            <w:noWrap/>
            <w:tcMar>
              <w:top w:w="15" w:type="dxa"/>
              <w:left w:w="15" w:type="dxa"/>
              <w:right w:w="15" w:type="dxa"/>
            </w:tcMar>
            <w:vAlign w:val="center"/>
          </w:tcPr>
          <w:p>
            <w:pPr>
              <w:contextualSpacing/>
              <w:jc w:val="center"/>
              <w:rPr>
                <w:color w:val="auto"/>
                <w:sz w:val="21"/>
                <w:szCs w:val="21"/>
              </w:rPr>
            </w:pPr>
          </w:p>
        </w:tc>
        <w:tc>
          <w:tcPr>
            <w:tcW w:w="611" w:type="pct"/>
            <w:vMerge w:val="continue"/>
            <w:shd w:val="clear" w:color="auto" w:fill="auto"/>
            <w:tcMar>
              <w:top w:w="15" w:type="dxa"/>
              <w:left w:w="15" w:type="dxa"/>
              <w:right w:w="15" w:type="dxa"/>
            </w:tcMar>
            <w:vAlign w:val="center"/>
          </w:tcPr>
          <w:p>
            <w:pPr>
              <w:contextualSpacing/>
              <w:jc w:val="center"/>
              <w:rPr>
                <w:color w:val="auto"/>
                <w:sz w:val="21"/>
                <w:szCs w:val="21"/>
              </w:rPr>
            </w:pPr>
          </w:p>
        </w:tc>
        <w:tc>
          <w:tcPr>
            <w:tcW w:w="946" w:type="pct"/>
            <w:shd w:val="clear" w:color="auto" w:fill="auto"/>
            <w:tcMar>
              <w:top w:w="15" w:type="dxa"/>
              <w:left w:w="15" w:type="dxa"/>
              <w:right w:w="15" w:type="dxa"/>
            </w:tcMar>
            <w:vAlign w:val="center"/>
          </w:tcPr>
          <w:p>
            <w:pPr>
              <w:widowControl/>
              <w:contextualSpacing/>
              <w:jc w:val="center"/>
              <w:textAlignment w:val="center"/>
              <w:rPr>
                <w:color w:val="auto"/>
                <w:sz w:val="21"/>
                <w:szCs w:val="21"/>
              </w:rPr>
            </w:pPr>
            <w:r>
              <w:rPr>
                <w:rFonts w:hint="eastAsia"/>
                <w:color w:val="auto"/>
                <w:sz w:val="21"/>
                <w:szCs w:val="21"/>
              </w:rPr>
              <w:t>公共管理与公共服务用地</w:t>
            </w:r>
          </w:p>
        </w:tc>
        <w:tc>
          <w:tcPr>
            <w:tcW w:w="850" w:type="pct"/>
            <w:vAlign w:val="center"/>
          </w:tcPr>
          <w:p>
            <w:pPr>
              <w:widowControl/>
              <w:contextualSpacing/>
              <w:jc w:val="center"/>
              <w:textAlignment w:val="center"/>
              <w:rPr>
                <w:color w:val="auto"/>
                <w:kern w:val="0"/>
                <w:sz w:val="21"/>
                <w:szCs w:val="21"/>
                <w:lang w:bidi="ar"/>
              </w:rPr>
            </w:pPr>
            <w:r>
              <w:rPr>
                <w:rFonts w:hint="eastAsia"/>
                <w:color w:val="auto"/>
                <w:kern w:val="0"/>
                <w:sz w:val="21"/>
                <w:szCs w:val="21"/>
                <w:lang w:bidi="ar"/>
              </w:rPr>
              <w:t>其他林地</w:t>
            </w:r>
          </w:p>
        </w:tc>
        <w:tc>
          <w:tcPr>
            <w:tcW w:w="851" w:type="pct"/>
            <w:shd w:val="clear" w:color="auto" w:fill="auto"/>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永久占地</w:t>
            </w:r>
          </w:p>
        </w:tc>
        <w:tc>
          <w:tcPr>
            <w:tcW w:w="739" w:type="pct"/>
            <w:shd w:val="clear" w:color="auto" w:fill="auto"/>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shd w:val="clear" w:color="auto" w:fill="auto"/>
            <w:noWrap/>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建构筑物区</w:t>
            </w:r>
          </w:p>
        </w:tc>
        <w:tc>
          <w:tcPr>
            <w:tcW w:w="611" w:type="pct"/>
            <w:noWrap/>
            <w:tcMar>
              <w:top w:w="15" w:type="dxa"/>
              <w:left w:w="15" w:type="dxa"/>
              <w:right w:w="15" w:type="dxa"/>
            </w:tcMar>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.82</w:t>
            </w:r>
          </w:p>
        </w:tc>
        <w:tc>
          <w:tcPr>
            <w:tcW w:w="946" w:type="pct"/>
            <w:noWrap/>
            <w:tcMar>
              <w:top w:w="15" w:type="dxa"/>
              <w:left w:w="15" w:type="dxa"/>
              <w:right w:w="15" w:type="dxa"/>
            </w:tcMar>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.82</w:t>
            </w:r>
          </w:p>
        </w:tc>
        <w:tc>
          <w:tcPr>
            <w:tcW w:w="850" w:type="pct"/>
            <w:vAlign w:val="center"/>
          </w:tcPr>
          <w:p>
            <w:pPr>
              <w:widowControl/>
              <w:contextualSpacing/>
              <w:jc w:val="center"/>
              <w:textAlignment w:val="center"/>
              <w:rPr>
                <w:color w:val="auto"/>
                <w:sz w:val="22"/>
                <w:szCs w:val="22"/>
              </w:rPr>
            </w:pPr>
            <w:r>
              <w:rPr>
                <w:rFonts w:hint="eastAsia"/>
                <w:color w:val="auto"/>
                <w:sz w:val="22"/>
                <w:szCs w:val="22"/>
              </w:rPr>
              <w:t>0</w:t>
            </w:r>
          </w:p>
        </w:tc>
        <w:tc>
          <w:tcPr>
            <w:tcW w:w="851" w:type="pct"/>
            <w:noWrap/>
            <w:tcMar>
              <w:top w:w="15" w:type="dxa"/>
              <w:left w:w="15" w:type="dxa"/>
              <w:right w:w="15" w:type="dxa"/>
            </w:tcMar>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.82</w:t>
            </w:r>
          </w:p>
        </w:tc>
        <w:tc>
          <w:tcPr>
            <w:tcW w:w="739" w:type="pct"/>
            <w:shd w:val="clear" w:color="auto" w:fill="auto"/>
            <w:tcMar>
              <w:top w:w="15" w:type="dxa"/>
              <w:left w:w="15" w:type="dxa"/>
              <w:right w:w="15" w:type="dxa"/>
            </w:tcMar>
            <w:vAlign w:val="center"/>
          </w:tcPr>
          <w:p>
            <w:pPr>
              <w:contextualSpacing/>
              <w:jc w:val="center"/>
              <w:rPr>
                <w:rFonts w:eastAsia="宋体"/>
                <w:color w:val="auto"/>
                <w:sz w:val="21"/>
                <w:szCs w:val="21"/>
              </w:rPr>
            </w:pPr>
            <w:r>
              <w:rPr>
                <w:rFonts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shd w:val="clear" w:color="auto" w:fill="auto"/>
            <w:tcMar>
              <w:top w:w="15" w:type="dxa"/>
              <w:left w:w="15" w:type="dxa"/>
              <w:right w:w="15" w:type="dxa"/>
            </w:tcMar>
            <w:vAlign w:val="center"/>
          </w:tcPr>
          <w:p>
            <w:pPr>
              <w:widowControl/>
              <w:contextualSpacing/>
              <w:jc w:val="center"/>
              <w:textAlignment w:val="center"/>
              <w:rPr>
                <w:color w:val="auto"/>
                <w:sz w:val="21"/>
                <w:szCs w:val="21"/>
              </w:rPr>
            </w:pPr>
            <w:r>
              <w:rPr>
                <w:color w:val="auto"/>
                <w:kern w:val="0"/>
                <w:sz w:val="21"/>
                <w:szCs w:val="21"/>
                <w:lang w:bidi="ar"/>
              </w:rPr>
              <w:t>道路</w:t>
            </w:r>
            <w:r>
              <w:rPr>
                <w:rFonts w:hint="eastAsia"/>
                <w:color w:val="auto"/>
                <w:kern w:val="0"/>
                <w:sz w:val="21"/>
                <w:szCs w:val="21"/>
                <w:lang w:bidi="ar"/>
              </w:rPr>
              <w:t>地面</w:t>
            </w:r>
            <w:r>
              <w:rPr>
                <w:color w:val="auto"/>
                <w:kern w:val="0"/>
                <w:sz w:val="21"/>
                <w:szCs w:val="21"/>
                <w:lang w:bidi="ar"/>
              </w:rPr>
              <w:t>硬化区</w:t>
            </w:r>
          </w:p>
        </w:tc>
        <w:tc>
          <w:tcPr>
            <w:tcW w:w="611" w:type="pct"/>
            <w:noWrap/>
            <w:tcMar>
              <w:top w:w="15" w:type="dxa"/>
              <w:left w:w="15" w:type="dxa"/>
              <w:right w:w="15" w:type="dxa"/>
            </w:tcMar>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.58</w:t>
            </w:r>
          </w:p>
        </w:tc>
        <w:tc>
          <w:tcPr>
            <w:tcW w:w="946" w:type="pct"/>
            <w:noWrap/>
            <w:tcMar>
              <w:top w:w="15" w:type="dxa"/>
              <w:left w:w="15" w:type="dxa"/>
              <w:right w:w="15" w:type="dxa"/>
            </w:tcMar>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.58</w:t>
            </w:r>
          </w:p>
        </w:tc>
        <w:tc>
          <w:tcPr>
            <w:tcW w:w="850" w:type="pct"/>
            <w:vAlign w:val="center"/>
          </w:tcPr>
          <w:p>
            <w:pPr>
              <w:widowControl/>
              <w:contextualSpacing/>
              <w:jc w:val="center"/>
              <w:textAlignment w:val="center"/>
              <w:rPr>
                <w:color w:val="auto"/>
                <w:sz w:val="22"/>
                <w:szCs w:val="22"/>
              </w:rPr>
            </w:pPr>
            <w:r>
              <w:rPr>
                <w:rFonts w:hint="eastAsia"/>
                <w:color w:val="auto"/>
                <w:sz w:val="22"/>
                <w:szCs w:val="22"/>
              </w:rPr>
              <w:t>0</w:t>
            </w:r>
          </w:p>
        </w:tc>
        <w:tc>
          <w:tcPr>
            <w:tcW w:w="851" w:type="pct"/>
            <w:noWrap/>
            <w:tcMar>
              <w:top w:w="15" w:type="dxa"/>
              <w:left w:w="15" w:type="dxa"/>
              <w:right w:w="15" w:type="dxa"/>
            </w:tcMar>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.58</w:t>
            </w:r>
          </w:p>
        </w:tc>
        <w:tc>
          <w:tcPr>
            <w:tcW w:w="739" w:type="pct"/>
            <w:shd w:val="clear" w:color="auto" w:fill="auto"/>
            <w:noWrap/>
            <w:tcMar>
              <w:top w:w="15" w:type="dxa"/>
              <w:left w:w="15" w:type="dxa"/>
              <w:right w:w="15" w:type="dxa"/>
            </w:tcMar>
            <w:vAlign w:val="center"/>
          </w:tcPr>
          <w:p>
            <w:pPr>
              <w:contextualSpacing/>
              <w:jc w:val="center"/>
              <w:rPr>
                <w:rFonts w:eastAsia="宋体"/>
                <w:color w:val="auto"/>
                <w:sz w:val="21"/>
                <w:szCs w:val="21"/>
              </w:rPr>
            </w:pPr>
            <w:r>
              <w:rPr>
                <w:rFonts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shd w:val="clear" w:color="auto" w:fill="auto"/>
            <w:tcMar>
              <w:top w:w="15" w:type="dxa"/>
              <w:left w:w="15" w:type="dxa"/>
              <w:right w:w="15" w:type="dxa"/>
            </w:tcMar>
            <w:vAlign w:val="center"/>
          </w:tcPr>
          <w:p>
            <w:pPr>
              <w:widowControl/>
              <w:contextualSpacing/>
              <w:jc w:val="center"/>
              <w:textAlignment w:val="center"/>
              <w:rPr>
                <w:color w:val="auto"/>
                <w:kern w:val="0"/>
                <w:sz w:val="21"/>
                <w:szCs w:val="21"/>
                <w:lang w:bidi="ar"/>
              </w:rPr>
            </w:pPr>
            <w:r>
              <w:rPr>
                <w:rFonts w:hint="eastAsia"/>
                <w:color w:val="auto"/>
                <w:kern w:val="0"/>
                <w:sz w:val="21"/>
                <w:szCs w:val="21"/>
                <w:lang w:bidi="ar"/>
              </w:rPr>
              <w:t>绿化区</w:t>
            </w:r>
          </w:p>
        </w:tc>
        <w:tc>
          <w:tcPr>
            <w:tcW w:w="611"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.60</w:t>
            </w:r>
          </w:p>
        </w:tc>
        <w:tc>
          <w:tcPr>
            <w:tcW w:w="946"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.60</w:t>
            </w:r>
          </w:p>
        </w:tc>
        <w:tc>
          <w:tcPr>
            <w:tcW w:w="850" w:type="pct"/>
            <w:vAlign w:val="center"/>
          </w:tcPr>
          <w:p>
            <w:pPr>
              <w:widowControl/>
              <w:contextualSpacing/>
              <w:jc w:val="center"/>
              <w:textAlignment w:val="center"/>
              <w:rPr>
                <w:color w:val="auto"/>
                <w:sz w:val="22"/>
                <w:szCs w:val="22"/>
              </w:rPr>
            </w:pPr>
            <w:r>
              <w:rPr>
                <w:rFonts w:hint="eastAsia"/>
                <w:color w:val="auto"/>
                <w:sz w:val="22"/>
                <w:szCs w:val="22"/>
              </w:rPr>
              <w:t>0</w:t>
            </w:r>
          </w:p>
        </w:tc>
        <w:tc>
          <w:tcPr>
            <w:tcW w:w="851"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.60</w:t>
            </w:r>
          </w:p>
        </w:tc>
        <w:tc>
          <w:tcPr>
            <w:tcW w:w="739" w:type="pct"/>
            <w:shd w:val="clear" w:color="auto" w:fill="auto"/>
            <w:noWrap/>
            <w:tcMar>
              <w:top w:w="15" w:type="dxa"/>
              <w:left w:w="15" w:type="dxa"/>
              <w:right w:w="15" w:type="dxa"/>
            </w:tcMar>
            <w:vAlign w:val="center"/>
          </w:tcPr>
          <w:p>
            <w:pPr>
              <w:contextualSpacing/>
              <w:jc w:val="center"/>
              <w:rPr>
                <w:rFonts w:eastAsia="宋体"/>
                <w:color w:val="auto"/>
                <w:sz w:val="21"/>
                <w:szCs w:val="21"/>
              </w:rPr>
            </w:pPr>
            <w:r>
              <w:rPr>
                <w:rFonts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shd w:val="clear" w:color="auto" w:fill="auto"/>
            <w:tcMar>
              <w:top w:w="15" w:type="dxa"/>
              <w:left w:w="15" w:type="dxa"/>
              <w:right w:w="15" w:type="dxa"/>
            </w:tcMar>
            <w:vAlign w:val="center"/>
          </w:tcPr>
          <w:p>
            <w:pPr>
              <w:widowControl/>
              <w:contextualSpacing/>
              <w:jc w:val="center"/>
              <w:textAlignment w:val="center"/>
              <w:rPr>
                <w:color w:val="auto"/>
                <w:kern w:val="0"/>
                <w:sz w:val="21"/>
                <w:szCs w:val="21"/>
                <w:lang w:bidi="ar"/>
              </w:rPr>
            </w:pPr>
            <w:r>
              <w:rPr>
                <w:rFonts w:hint="eastAsia"/>
                <w:color w:val="auto"/>
                <w:kern w:val="0"/>
                <w:sz w:val="21"/>
                <w:szCs w:val="21"/>
                <w:lang w:bidi="ar"/>
              </w:rPr>
              <w:t>工业园区管网区</w:t>
            </w:r>
          </w:p>
        </w:tc>
        <w:tc>
          <w:tcPr>
            <w:tcW w:w="611"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.19</w:t>
            </w:r>
          </w:p>
        </w:tc>
        <w:tc>
          <w:tcPr>
            <w:tcW w:w="946"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0</w:t>
            </w:r>
          </w:p>
        </w:tc>
        <w:tc>
          <w:tcPr>
            <w:tcW w:w="850" w:type="pct"/>
            <w:vAlign w:val="center"/>
          </w:tcPr>
          <w:p>
            <w:pPr>
              <w:widowControl/>
              <w:contextualSpacing/>
              <w:jc w:val="center"/>
              <w:textAlignment w:val="center"/>
              <w:rPr>
                <w:color w:val="auto"/>
                <w:sz w:val="22"/>
                <w:szCs w:val="22"/>
              </w:rPr>
            </w:pPr>
            <w:r>
              <w:rPr>
                <w:rFonts w:hint="eastAsia"/>
                <w:color w:val="auto"/>
                <w:sz w:val="22"/>
                <w:szCs w:val="22"/>
              </w:rPr>
              <w:t>1</w:t>
            </w:r>
            <w:r>
              <w:rPr>
                <w:color w:val="auto"/>
                <w:sz w:val="22"/>
                <w:szCs w:val="22"/>
              </w:rPr>
              <w:t>.19</w:t>
            </w:r>
          </w:p>
        </w:tc>
        <w:tc>
          <w:tcPr>
            <w:tcW w:w="851"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0</w:t>
            </w:r>
          </w:p>
        </w:tc>
        <w:tc>
          <w:tcPr>
            <w:tcW w:w="739" w:type="pct"/>
            <w:shd w:val="clear" w:color="auto" w:fill="auto"/>
            <w:noWrap/>
            <w:tcMar>
              <w:top w:w="15" w:type="dxa"/>
              <w:left w:w="15" w:type="dxa"/>
              <w:right w:w="15" w:type="dxa"/>
            </w:tcMar>
            <w:vAlign w:val="center"/>
          </w:tcPr>
          <w:p>
            <w:pPr>
              <w:contextualSpacing/>
              <w:jc w:val="center"/>
              <w:rPr>
                <w:rFonts w:eastAsia="宋体"/>
                <w:color w:val="auto"/>
                <w:sz w:val="21"/>
                <w:szCs w:val="21"/>
              </w:rPr>
            </w:pPr>
            <w:r>
              <w:rPr>
                <w:rFonts w:hint="eastAsia" w:eastAsia="宋体"/>
                <w:color w:val="auto"/>
                <w:sz w:val="21"/>
                <w:szCs w:val="21"/>
              </w:rPr>
              <w:t>1</w:t>
            </w:r>
            <w:r>
              <w:rPr>
                <w:rFonts w:eastAsia="宋体"/>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shd w:val="clear" w:color="auto" w:fill="auto"/>
            <w:tcMar>
              <w:top w:w="15" w:type="dxa"/>
              <w:left w:w="15" w:type="dxa"/>
              <w:right w:w="15" w:type="dxa"/>
            </w:tcMar>
            <w:vAlign w:val="center"/>
          </w:tcPr>
          <w:p>
            <w:pPr>
              <w:widowControl/>
              <w:contextualSpacing/>
              <w:jc w:val="center"/>
              <w:textAlignment w:val="center"/>
              <w:rPr>
                <w:color w:val="auto"/>
                <w:kern w:val="0"/>
                <w:sz w:val="21"/>
                <w:szCs w:val="21"/>
                <w:lang w:bidi="ar"/>
              </w:rPr>
            </w:pPr>
            <w:r>
              <w:rPr>
                <w:rFonts w:hint="eastAsia"/>
                <w:color w:val="auto"/>
                <w:kern w:val="0"/>
                <w:sz w:val="21"/>
                <w:szCs w:val="21"/>
                <w:lang w:bidi="ar"/>
              </w:rPr>
              <w:t>施工生产区</w:t>
            </w:r>
          </w:p>
        </w:tc>
        <w:tc>
          <w:tcPr>
            <w:tcW w:w="611"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（0</w:t>
            </w:r>
            <w:r>
              <w:rPr>
                <w:color w:val="auto"/>
                <w:sz w:val="22"/>
                <w:szCs w:val="22"/>
              </w:rPr>
              <w:t>.10</w:t>
            </w:r>
            <w:r>
              <w:rPr>
                <w:rFonts w:hint="eastAsia"/>
                <w:color w:val="auto"/>
                <w:sz w:val="22"/>
                <w:szCs w:val="22"/>
              </w:rPr>
              <w:t>）</w:t>
            </w:r>
          </w:p>
        </w:tc>
        <w:tc>
          <w:tcPr>
            <w:tcW w:w="946"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（0</w:t>
            </w:r>
            <w:r>
              <w:rPr>
                <w:color w:val="auto"/>
                <w:sz w:val="22"/>
                <w:szCs w:val="22"/>
              </w:rPr>
              <w:t>.10</w:t>
            </w:r>
            <w:r>
              <w:rPr>
                <w:rFonts w:hint="eastAsia"/>
                <w:color w:val="auto"/>
                <w:sz w:val="22"/>
                <w:szCs w:val="22"/>
              </w:rPr>
              <w:t>）</w:t>
            </w:r>
          </w:p>
        </w:tc>
        <w:tc>
          <w:tcPr>
            <w:tcW w:w="850" w:type="pct"/>
            <w:vAlign w:val="center"/>
          </w:tcPr>
          <w:p>
            <w:pPr>
              <w:widowControl/>
              <w:contextualSpacing/>
              <w:jc w:val="center"/>
              <w:textAlignment w:val="center"/>
              <w:rPr>
                <w:color w:val="auto"/>
                <w:sz w:val="22"/>
                <w:szCs w:val="22"/>
              </w:rPr>
            </w:pPr>
            <w:r>
              <w:rPr>
                <w:rFonts w:hint="eastAsia"/>
                <w:color w:val="auto"/>
                <w:sz w:val="22"/>
                <w:szCs w:val="22"/>
              </w:rPr>
              <w:t>0</w:t>
            </w:r>
          </w:p>
        </w:tc>
        <w:tc>
          <w:tcPr>
            <w:tcW w:w="851" w:type="pct"/>
            <w:noWrap/>
            <w:tcMar>
              <w:top w:w="15" w:type="dxa"/>
              <w:left w:w="15" w:type="dxa"/>
              <w:right w:w="15" w:type="dxa"/>
            </w:tcMar>
            <w:vAlign w:val="center"/>
          </w:tcPr>
          <w:p>
            <w:pPr>
              <w:widowControl/>
              <w:contextualSpacing/>
              <w:jc w:val="center"/>
              <w:textAlignment w:val="center"/>
              <w:rPr>
                <w:color w:val="auto"/>
                <w:sz w:val="22"/>
                <w:szCs w:val="22"/>
              </w:rPr>
            </w:pPr>
            <w:r>
              <w:rPr>
                <w:rFonts w:hint="eastAsia"/>
                <w:color w:val="auto"/>
                <w:sz w:val="22"/>
                <w:szCs w:val="22"/>
              </w:rPr>
              <w:t>（0</w:t>
            </w:r>
            <w:r>
              <w:rPr>
                <w:color w:val="auto"/>
                <w:sz w:val="22"/>
                <w:szCs w:val="22"/>
              </w:rPr>
              <w:t>.10</w:t>
            </w:r>
            <w:r>
              <w:rPr>
                <w:rFonts w:hint="eastAsia"/>
                <w:color w:val="auto"/>
                <w:sz w:val="22"/>
                <w:szCs w:val="22"/>
              </w:rPr>
              <w:t>）</w:t>
            </w:r>
          </w:p>
        </w:tc>
        <w:tc>
          <w:tcPr>
            <w:tcW w:w="739" w:type="pct"/>
            <w:shd w:val="clear" w:color="auto" w:fill="auto"/>
            <w:noWrap/>
            <w:tcMar>
              <w:top w:w="15" w:type="dxa"/>
              <w:left w:w="15" w:type="dxa"/>
              <w:right w:w="15" w:type="dxa"/>
            </w:tcMar>
            <w:vAlign w:val="center"/>
          </w:tcPr>
          <w:p>
            <w:pPr>
              <w:contextualSpacing/>
              <w:jc w:val="center"/>
              <w:rPr>
                <w:rFonts w:eastAsia="宋体"/>
                <w:color w:val="auto"/>
                <w:sz w:val="21"/>
                <w:szCs w:val="21"/>
              </w:rPr>
            </w:pPr>
            <w:r>
              <w:rPr>
                <w:rFonts w:hint="eastAsia"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03" w:type="pct"/>
            <w:shd w:val="clear" w:color="auto" w:fill="auto"/>
            <w:noWrap/>
            <w:tcMar>
              <w:top w:w="15" w:type="dxa"/>
              <w:left w:w="15" w:type="dxa"/>
              <w:right w:w="15" w:type="dxa"/>
            </w:tcMar>
            <w:vAlign w:val="center"/>
          </w:tcPr>
          <w:p>
            <w:pPr>
              <w:contextualSpacing/>
              <w:jc w:val="center"/>
              <w:rPr>
                <w:b/>
                <w:bCs/>
                <w:color w:val="auto"/>
                <w:sz w:val="21"/>
                <w:szCs w:val="21"/>
              </w:rPr>
            </w:pPr>
            <w:r>
              <w:rPr>
                <w:b/>
                <w:bCs/>
                <w:color w:val="auto"/>
                <w:kern w:val="0"/>
                <w:sz w:val="21"/>
                <w:szCs w:val="21"/>
                <w:lang w:bidi="ar"/>
              </w:rPr>
              <w:t>合计</w:t>
            </w:r>
          </w:p>
        </w:tc>
        <w:tc>
          <w:tcPr>
            <w:tcW w:w="611" w:type="pct"/>
            <w:noWrap/>
            <w:tcMar>
              <w:top w:w="15" w:type="dxa"/>
              <w:left w:w="15" w:type="dxa"/>
              <w:right w:w="15" w:type="dxa"/>
            </w:tcMar>
            <w:vAlign w:val="center"/>
          </w:tcPr>
          <w:p>
            <w:pPr>
              <w:widowControl/>
              <w:contextualSpacing/>
              <w:jc w:val="center"/>
              <w:rPr>
                <w:rFonts w:eastAsia="宋体"/>
                <w:b/>
                <w:bCs/>
                <w:color w:val="auto"/>
                <w:kern w:val="0"/>
                <w:sz w:val="22"/>
                <w:szCs w:val="22"/>
              </w:rPr>
            </w:pPr>
            <w:r>
              <w:rPr>
                <w:rFonts w:hint="eastAsia"/>
                <w:b/>
                <w:bCs/>
                <w:color w:val="auto"/>
                <w:sz w:val="22"/>
                <w:szCs w:val="22"/>
              </w:rPr>
              <w:t>4</w:t>
            </w:r>
            <w:r>
              <w:rPr>
                <w:b/>
                <w:bCs/>
                <w:color w:val="auto"/>
                <w:sz w:val="22"/>
                <w:szCs w:val="22"/>
              </w:rPr>
              <w:t>.19</w:t>
            </w:r>
          </w:p>
        </w:tc>
        <w:tc>
          <w:tcPr>
            <w:tcW w:w="946" w:type="pct"/>
            <w:noWrap/>
            <w:tcMar>
              <w:top w:w="15" w:type="dxa"/>
              <w:left w:w="15" w:type="dxa"/>
              <w:right w:w="15" w:type="dxa"/>
            </w:tcMar>
            <w:vAlign w:val="center"/>
          </w:tcPr>
          <w:p>
            <w:pPr>
              <w:widowControl/>
              <w:contextualSpacing/>
              <w:jc w:val="center"/>
              <w:textAlignment w:val="center"/>
              <w:rPr>
                <w:b/>
                <w:bCs/>
                <w:color w:val="auto"/>
                <w:sz w:val="21"/>
                <w:szCs w:val="21"/>
              </w:rPr>
            </w:pPr>
            <w:r>
              <w:rPr>
                <w:b/>
                <w:bCs/>
                <w:color w:val="auto"/>
                <w:sz w:val="22"/>
                <w:szCs w:val="22"/>
              </w:rPr>
              <w:t>3.00</w:t>
            </w:r>
          </w:p>
        </w:tc>
        <w:tc>
          <w:tcPr>
            <w:tcW w:w="850" w:type="pct"/>
            <w:vAlign w:val="center"/>
          </w:tcPr>
          <w:p>
            <w:pPr>
              <w:widowControl/>
              <w:contextualSpacing/>
              <w:jc w:val="center"/>
              <w:textAlignment w:val="center"/>
              <w:rPr>
                <w:b/>
                <w:bCs/>
                <w:color w:val="auto"/>
                <w:sz w:val="22"/>
                <w:szCs w:val="22"/>
              </w:rPr>
            </w:pPr>
            <w:r>
              <w:rPr>
                <w:rFonts w:hint="eastAsia"/>
                <w:b/>
                <w:bCs/>
                <w:color w:val="auto"/>
                <w:sz w:val="22"/>
                <w:szCs w:val="22"/>
              </w:rPr>
              <w:t>1</w:t>
            </w:r>
            <w:r>
              <w:rPr>
                <w:b/>
                <w:bCs/>
                <w:color w:val="auto"/>
                <w:sz w:val="22"/>
                <w:szCs w:val="22"/>
              </w:rPr>
              <w:t>.19</w:t>
            </w:r>
          </w:p>
        </w:tc>
        <w:tc>
          <w:tcPr>
            <w:tcW w:w="851" w:type="pct"/>
            <w:noWrap/>
            <w:tcMar>
              <w:top w:w="15" w:type="dxa"/>
              <w:left w:w="15" w:type="dxa"/>
              <w:right w:w="15" w:type="dxa"/>
            </w:tcMar>
            <w:vAlign w:val="center"/>
          </w:tcPr>
          <w:p>
            <w:pPr>
              <w:widowControl/>
              <w:contextualSpacing/>
              <w:jc w:val="center"/>
              <w:textAlignment w:val="center"/>
              <w:rPr>
                <w:b/>
                <w:bCs/>
                <w:color w:val="auto"/>
                <w:sz w:val="21"/>
                <w:szCs w:val="21"/>
              </w:rPr>
            </w:pPr>
            <w:r>
              <w:rPr>
                <w:b/>
                <w:bCs/>
                <w:color w:val="auto"/>
                <w:sz w:val="22"/>
                <w:szCs w:val="22"/>
              </w:rPr>
              <w:t>3.00</w:t>
            </w:r>
          </w:p>
        </w:tc>
        <w:tc>
          <w:tcPr>
            <w:tcW w:w="739" w:type="pct"/>
            <w:shd w:val="clear" w:color="auto" w:fill="auto"/>
            <w:noWrap/>
            <w:tcMar>
              <w:top w:w="15" w:type="dxa"/>
              <w:left w:w="15" w:type="dxa"/>
              <w:right w:w="15" w:type="dxa"/>
            </w:tcMar>
            <w:vAlign w:val="center"/>
          </w:tcPr>
          <w:p>
            <w:pPr>
              <w:widowControl/>
              <w:contextualSpacing/>
              <w:jc w:val="center"/>
              <w:textAlignment w:val="center"/>
              <w:rPr>
                <w:rFonts w:eastAsia="宋体"/>
                <w:b/>
                <w:bCs/>
                <w:color w:val="auto"/>
                <w:sz w:val="21"/>
                <w:szCs w:val="21"/>
              </w:rPr>
            </w:pPr>
            <w:r>
              <w:rPr>
                <w:rFonts w:eastAsia="宋体"/>
                <w:b/>
                <w:bCs/>
                <w:color w:val="auto"/>
                <w:sz w:val="21"/>
                <w:szCs w:val="21"/>
              </w:rPr>
              <w:t>1.19</w:t>
            </w:r>
          </w:p>
        </w:tc>
      </w:tr>
    </w:tbl>
    <w:p>
      <w:pPr>
        <w:pStyle w:val="11"/>
        <w:adjustRightInd w:val="0"/>
        <w:snapToGrid w:val="0"/>
        <w:spacing w:after="0" w:line="300" w:lineRule="auto"/>
        <w:ind w:right="633"/>
        <w:contextualSpacing/>
        <w:jc w:val="left"/>
        <w:rPr>
          <w:b/>
          <w:color w:val="auto"/>
          <w:sz w:val="21"/>
          <w:szCs w:val="21"/>
        </w:rPr>
      </w:pPr>
      <w:r>
        <w:rPr>
          <w:rFonts w:hint="eastAsia"/>
          <w:b/>
          <w:color w:val="auto"/>
          <w:sz w:val="21"/>
          <w:szCs w:val="21"/>
        </w:rPr>
        <w:t>注：（）内属重复占地。</w:t>
      </w:r>
    </w:p>
    <w:bookmarkEnd w:id="69"/>
    <w:p>
      <w:pPr>
        <w:spacing w:line="360" w:lineRule="auto"/>
        <w:contextualSpacing/>
        <w:outlineLvl w:val="1"/>
        <w:rPr>
          <w:b/>
          <w:bCs/>
          <w:color w:val="auto"/>
          <w:sz w:val="30"/>
          <w:szCs w:val="30"/>
        </w:rPr>
      </w:pPr>
      <w:bookmarkStart w:id="70" w:name="_Toc521945606"/>
      <w:bookmarkStart w:id="71" w:name="_Toc145530050"/>
      <w:bookmarkStart w:id="72" w:name="_Toc522647710"/>
      <w:bookmarkStart w:id="73" w:name="_Toc486320418"/>
      <w:bookmarkStart w:id="74" w:name="_Toc389684012"/>
      <w:r>
        <w:rPr>
          <w:b/>
          <w:bCs/>
          <w:color w:val="auto"/>
          <w:sz w:val="30"/>
          <w:szCs w:val="30"/>
        </w:rPr>
        <w:t>2.4土石方平衡</w:t>
      </w:r>
      <w:bookmarkEnd w:id="70"/>
      <w:bookmarkEnd w:id="71"/>
      <w:bookmarkEnd w:id="72"/>
    </w:p>
    <w:bookmarkEnd w:id="73"/>
    <w:bookmarkEnd w:id="74"/>
    <w:p>
      <w:pPr>
        <w:spacing w:line="360" w:lineRule="auto"/>
        <w:ind w:firstLine="480" w:firstLineChars="200"/>
        <w:contextualSpacing/>
        <w:rPr>
          <w:color w:val="auto"/>
          <w:sz w:val="24"/>
        </w:rPr>
      </w:pPr>
      <w:r>
        <w:rPr>
          <w:rFonts w:hint="eastAsia"/>
          <w:color w:val="auto"/>
          <w:sz w:val="24"/>
        </w:rPr>
        <w:t>根据地形情况，结合工程设计资料中原始地面高程及设计地面标高，计算出本项目开挖、回填土方量。</w:t>
      </w:r>
    </w:p>
    <w:p>
      <w:pPr>
        <w:spacing w:line="360" w:lineRule="auto"/>
        <w:ind w:firstLine="480" w:firstLineChars="200"/>
        <w:contextualSpacing/>
        <w:rPr>
          <w:color w:val="auto"/>
          <w:sz w:val="24"/>
        </w:rPr>
      </w:pPr>
      <w:r>
        <w:rPr>
          <w:rFonts w:hint="eastAsia"/>
          <w:color w:val="auto"/>
          <w:sz w:val="24"/>
        </w:rPr>
        <w:t>1、表土</w:t>
      </w:r>
    </w:p>
    <w:p>
      <w:pPr>
        <w:spacing w:line="360" w:lineRule="auto"/>
        <w:ind w:firstLine="480" w:firstLineChars="200"/>
        <w:contextualSpacing/>
        <w:rPr>
          <w:color w:val="auto"/>
          <w:sz w:val="24"/>
        </w:rPr>
      </w:pPr>
      <w:r>
        <w:rPr>
          <w:rFonts w:hint="eastAsia"/>
          <w:color w:val="auto"/>
          <w:sz w:val="24"/>
        </w:rPr>
        <w:t>本项目不涉及。</w:t>
      </w:r>
    </w:p>
    <w:p>
      <w:pPr>
        <w:spacing w:line="360" w:lineRule="auto"/>
        <w:ind w:firstLine="480" w:firstLineChars="200"/>
        <w:contextualSpacing/>
        <w:rPr>
          <w:color w:val="auto"/>
          <w:sz w:val="24"/>
        </w:rPr>
      </w:pPr>
      <w:r>
        <w:rPr>
          <w:rFonts w:hint="eastAsia"/>
          <w:color w:val="auto"/>
          <w:sz w:val="24"/>
        </w:rPr>
        <w:t>2、一般土方</w:t>
      </w:r>
    </w:p>
    <w:p>
      <w:pPr>
        <w:spacing w:line="360" w:lineRule="auto"/>
        <w:ind w:firstLine="480" w:firstLineChars="200"/>
        <w:contextualSpacing/>
        <w:rPr>
          <w:color w:val="auto"/>
          <w:sz w:val="24"/>
        </w:rPr>
      </w:pPr>
      <w:r>
        <w:rPr>
          <w:rFonts w:hint="eastAsia"/>
          <w:color w:val="auto"/>
          <w:sz w:val="24"/>
        </w:rPr>
        <w:t>（1）建构筑物区</w:t>
      </w:r>
    </w:p>
    <w:p>
      <w:pPr>
        <w:spacing w:line="360" w:lineRule="auto"/>
        <w:ind w:firstLine="480" w:firstLineChars="200"/>
        <w:contextualSpacing/>
        <w:rPr>
          <w:color w:val="auto"/>
          <w:sz w:val="24"/>
        </w:rPr>
      </w:pPr>
      <w:r>
        <w:rPr>
          <w:rFonts w:hint="eastAsia"/>
          <w:color w:val="auto"/>
          <w:sz w:val="24"/>
        </w:rPr>
        <w:t>本项目建构筑物基底面积0</w:t>
      </w:r>
      <w:r>
        <w:rPr>
          <w:color w:val="auto"/>
          <w:sz w:val="24"/>
        </w:rPr>
        <w:t>.82hm</w:t>
      </w:r>
      <w:r>
        <w:rPr>
          <w:color w:val="auto"/>
          <w:sz w:val="24"/>
          <w:vertAlign w:val="superscript"/>
        </w:rPr>
        <w:t>2</w:t>
      </w:r>
      <w:r>
        <w:rPr>
          <w:rFonts w:hint="eastAsia"/>
          <w:color w:val="auto"/>
          <w:sz w:val="24"/>
        </w:rPr>
        <w:t>，根据主体设计资料，基础平均埋深约2</w:t>
      </w:r>
      <w:r>
        <w:rPr>
          <w:color w:val="auto"/>
          <w:sz w:val="24"/>
        </w:rPr>
        <w:t>.00m</w:t>
      </w:r>
      <w:r>
        <w:rPr>
          <w:rFonts w:hint="eastAsia"/>
          <w:color w:val="auto"/>
          <w:sz w:val="24"/>
        </w:rPr>
        <w:t>。建构筑物基础类型有独立基础、筏板基础及条形基础，独立基础采用静压桩，不涉及土方开挖。因此，本区域基础开挖面积0</w:t>
      </w:r>
      <w:r>
        <w:rPr>
          <w:color w:val="auto"/>
          <w:sz w:val="24"/>
        </w:rPr>
        <w:t>.16hm</w:t>
      </w:r>
      <w:r>
        <w:rPr>
          <w:color w:val="auto"/>
          <w:sz w:val="24"/>
          <w:vertAlign w:val="superscript"/>
        </w:rPr>
        <w:t>2</w:t>
      </w:r>
      <w:r>
        <w:rPr>
          <w:rFonts w:hint="eastAsia"/>
          <w:color w:val="auto"/>
          <w:sz w:val="24"/>
        </w:rPr>
        <w:t>，开挖土方约0</w:t>
      </w:r>
      <w:r>
        <w:rPr>
          <w:color w:val="auto"/>
          <w:sz w:val="24"/>
        </w:rPr>
        <w:t>.32</w:t>
      </w:r>
      <w:r>
        <w:rPr>
          <w:rFonts w:hint="eastAsia"/>
          <w:color w:val="auto"/>
          <w:sz w:val="24"/>
        </w:rPr>
        <w:t>万m</w:t>
      </w:r>
      <w:r>
        <w:rPr>
          <w:color w:val="auto"/>
          <w:sz w:val="24"/>
          <w:vertAlign w:val="superscript"/>
        </w:rPr>
        <w:t>3</w:t>
      </w:r>
      <w:r>
        <w:rPr>
          <w:rFonts w:hint="eastAsia"/>
          <w:color w:val="auto"/>
          <w:sz w:val="24"/>
        </w:rPr>
        <w:t>；基础施工完后进行土方回填，回填量约0</w:t>
      </w:r>
      <w:r>
        <w:rPr>
          <w:color w:val="auto"/>
          <w:sz w:val="24"/>
        </w:rPr>
        <w:t>.26</w:t>
      </w:r>
      <w:r>
        <w:rPr>
          <w:rFonts w:hint="eastAsia"/>
          <w:color w:val="auto"/>
          <w:sz w:val="24"/>
        </w:rPr>
        <w:t>万m</w:t>
      </w:r>
      <w:r>
        <w:rPr>
          <w:color w:val="auto"/>
          <w:sz w:val="24"/>
          <w:vertAlign w:val="superscript"/>
        </w:rPr>
        <w:t>3</w:t>
      </w:r>
      <w:r>
        <w:rPr>
          <w:rFonts w:hint="eastAsia"/>
          <w:color w:val="auto"/>
          <w:sz w:val="24"/>
        </w:rPr>
        <w:t>。</w:t>
      </w:r>
    </w:p>
    <w:p>
      <w:pPr>
        <w:spacing w:line="360" w:lineRule="auto"/>
        <w:ind w:firstLine="480" w:firstLineChars="200"/>
        <w:contextualSpacing/>
        <w:rPr>
          <w:color w:val="auto"/>
          <w:sz w:val="24"/>
        </w:rPr>
      </w:pPr>
      <w:r>
        <w:rPr>
          <w:rFonts w:hint="eastAsia"/>
          <w:color w:val="auto"/>
          <w:sz w:val="24"/>
        </w:rPr>
        <w:t>（2）道路硬化区</w:t>
      </w:r>
    </w:p>
    <w:p>
      <w:pPr>
        <w:spacing w:line="360" w:lineRule="auto"/>
        <w:ind w:firstLine="480" w:firstLineChars="200"/>
        <w:contextualSpacing/>
        <w:rPr>
          <w:color w:val="auto"/>
          <w:sz w:val="24"/>
        </w:rPr>
      </w:pPr>
      <w:r>
        <w:rPr>
          <w:rFonts w:hint="eastAsia"/>
          <w:color w:val="auto"/>
          <w:sz w:val="24"/>
        </w:rPr>
        <w:t>本项目场地标高为298.05m~3</w:t>
      </w:r>
      <w:r>
        <w:rPr>
          <w:color w:val="auto"/>
          <w:sz w:val="24"/>
        </w:rPr>
        <w:t>05.51</w:t>
      </w:r>
      <w:r>
        <w:rPr>
          <w:rFonts w:hint="eastAsia"/>
          <w:color w:val="auto"/>
          <w:sz w:val="24"/>
        </w:rPr>
        <w:t>m，平均约3</w:t>
      </w:r>
      <w:r>
        <w:rPr>
          <w:color w:val="auto"/>
          <w:sz w:val="24"/>
        </w:rPr>
        <w:t>01.78m</w:t>
      </w:r>
      <w:r>
        <w:rPr>
          <w:rFonts w:hint="eastAsia"/>
          <w:color w:val="auto"/>
          <w:sz w:val="24"/>
        </w:rPr>
        <w:t>；场地设计标高为2</w:t>
      </w:r>
      <w:r>
        <w:rPr>
          <w:color w:val="auto"/>
          <w:sz w:val="24"/>
        </w:rPr>
        <w:t>96.30m~308.50m</w:t>
      </w:r>
      <w:r>
        <w:rPr>
          <w:rFonts w:hint="eastAsia"/>
          <w:color w:val="auto"/>
          <w:sz w:val="24"/>
        </w:rPr>
        <w:t>，平均约3</w:t>
      </w:r>
      <w:r>
        <w:rPr>
          <w:color w:val="auto"/>
          <w:sz w:val="24"/>
        </w:rPr>
        <w:t>02.40m</w:t>
      </w:r>
      <w:r>
        <w:rPr>
          <w:rFonts w:hint="eastAsia"/>
          <w:color w:val="auto"/>
          <w:sz w:val="24"/>
        </w:rPr>
        <w:t>，需回填</w:t>
      </w:r>
      <w:r>
        <w:rPr>
          <w:color w:val="auto"/>
          <w:sz w:val="24"/>
        </w:rPr>
        <w:t>0.62m</w:t>
      </w:r>
      <w:r>
        <w:rPr>
          <w:rFonts w:hint="eastAsia"/>
          <w:color w:val="auto"/>
          <w:sz w:val="24"/>
        </w:rPr>
        <w:t>，本区域面积0</w:t>
      </w:r>
      <w:r>
        <w:rPr>
          <w:color w:val="auto"/>
          <w:sz w:val="24"/>
        </w:rPr>
        <w:t>.58</w:t>
      </w:r>
      <w:r>
        <w:rPr>
          <w:rFonts w:hint="eastAsia"/>
          <w:color w:val="auto"/>
          <w:sz w:val="24"/>
        </w:rPr>
        <w:t>h</w:t>
      </w:r>
      <w:r>
        <w:rPr>
          <w:color w:val="auto"/>
          <w:sz w:val="24"/>
        </w:rPr>
        <w:t>m</w:t>
      </w:r>
      <w:r>
        <w:rPr>
          <w:color w:val="auto"/>
          <w:sz w:val="24"/>
          <w:vertAlign w:val="superscript"/>
        </w:rPr>
        <w:t>2</w:t>
      </w:r>
      <w:r>
        <w:rPr>
          <w:rFonts w:hint="eastAsia"/>
          <w:color w:val="auto"/>
          <w:sz w:val="24"/>
        </w:rPr>
        <w:t>，回填土方约</w:t>
      </w:r>
      <w:r>
        <w:rPr>
          <w:color w:val="auto"/>
          <w:sz w:val="24"/>
        </w:rPr>
        <w:t>0.36</w:t>
      </w:r>
      <w:r>
        <w:rPr>
          <w:rFonts w:hint="eastAsia"/>
          <w:color w:val="auto"/>
          <w:sz w:val="24"/>
        </w:rPr>
        <w:t>万m</w:t>
      </w:r>
      <w:r>
        <w:rPr>
          <w:color w:val="auto"/>
          <w:sz w:val="24"/>
          <w:vertAlign w:val="superscript"/>
        </w:rPr>
        <w:t>3</w:t>
      </w:r>
      <w:r>
        <w:rPr>
          <w:rFonts w:hint="eastAsia"/>
          <w:color w:val="auto"/>
          <w:sz w:val="24"/>
        </w:rPr>
        <w:t>。</w:t>
      </w:r>
    </w:p>
    <w:p>
      <w:pPr>
        <w:spacing w:line="360" w:lineRule="auto"/>
        <w:ind w:firstLine="480" w:firstLineChars="200"/>
        <w:contextualSpacing/>
        <w:rPr>
          <w:color w:val="auto"/>
          <w:sz w:val="24"/>
        </w:rPr>
      </w:pPr>
      <w:r>
        <w:rPr>
          <w:rFonts w:hint="eastAsia"/>
          <w:color w:val="auto"/>
          <w:sz w:val="24"/>
        </w:rPr>
        <w:t>（3）绿化区</w:t>
      </w:r>
    </w:p>
    <w:p>
      <w:pPr>
        <w:spacing w:line="360" w:lineRule="auto"/>
        <w:ind w:firstLine="480" w:firstLineChars="200"/>
        <w:contextualSpacing/>
        <w:rPr>
          <w:color w:val="auto"/>
          <w:sz w:val="24"/>
        </w:rPr>
      </w:pPr>
      <w:r>
        <w:rPr>
          <w:rFonts w:hint="eastAsia"/>
          <w:color w:val="auto"/>
          <w:sz w:val="24"/>
        </w:rPr>
        <w:t>本项目绿化区面积1</w:t>
      </w:r>
      <w:r>
        <w:rPr>
          <w:color w:val="auto"/>
          <w:sz w:val="24"/>
        </w:rPr>
        <w:t>.60hm</w:t>
      </w:r>
      <w:r>
        <w:rPr>
          <w:color w:val="auto"/>
          <w:sz w:val="24"/>
          <w:vertAlign w:val="superscript"/>
        </w:rPr>
        <w:t>2</w:t>
      </w:r>
      <w:r>
        <w:rPr>
          <w:rFonts w:hint="eastAsia"/>
          <w:color w:val="auto"/>
          <w:sz w:val="24"/>
        </w:rPr>
        <w:t>，主体设计回填土方3</w:t>
      </w:r>
      <w:r>
        <w:rPr>
          <w:color w:val="auto"/>
          <w:sz w:val="24"/>
        </w:rPr>
        <w:t>0cm</w:t>
      </w:r>
      <w:r>
        <w:rPr>
          <w:rFonts w:hint="eastAsia"/>
          <w:color w:val="auto"/>
          <w:sz w:val="24"/>
        </w:rPr>
        <w:t>，采用场内一般土方改良后回填，回填量约0</w:t>
      </w:r>
      <w:r>
        <w:rPr>
          <w:color w:val="auto"/>
          <w:sz w:val="24"/>
        </w:rPr>
        <w:t>.48</w:t>
      </w:r>
      <w:r>
        <w:rPr>
          <w:rFonts w:hint="eastAsia"/>
          <w:color w:val="auto"/>
          <w:sz w:val="24"/>
        </w:rPr>
        <w:t>万m</w:t>
      </w:r>
      <w:r>
        <w:rPr>
          <w:color w:val="auto"/>
          <w:sz w:val="24"/>
          <w:vertAlign w:val="superscript"/>
        </w:rPr>
        <w:t>3</w:t>
      </w:r>
      <w:r>
        <w:rPr>
          <w:rFonts w:hint="eastAsia"/>
          <w:color w:val="auto"/>
          <w:sz w:val="24"/>
        </w:rPr>
        <w:t>。</w:t>
      </w:r>
    </w:p>
    <w:p>
      <w:pPr>
        <w:spacing w:line="360" w:lineRule="auto"/>
        <w:ind w:firstLine="480" w:firstLineChars="200"/>
        <w:contextualSpacing/>
        <w:rPr>
          <w:color w:val="auto"/>
          <w:sz w:val="24"/>
        </w:rPr>
      </w:pPr>
      <w:r>
        <w:rPr>
          <w:rFonts w:hint="eastAsia"/>
          <w:color w:val="auto"/>
          <w:sz w:val="24"/>
        </w:rPr>
        <w:t>（4）工业园区管网区</w:t>
      </w:r>
    </w:p>
    <w:p>
      <w:pPr>
        <w:spacing w:line="360" w:lineRule="auto"/>
        <w:ind w:firstLine="480" w:firstLineChars="200"/>
        <w:contextualSpacing/>
        <w:rPr>
          <w:color w:val="auto"/>
          <w:sz w:val="24"/>
        </w:rPr>
      </w:pPr>
      <w:r>
        <w:rPr>
          <w:rFonts w:hint="eastAsia"/>
          <w:color w:val="auto"/>
          <w:sz w:val="24"/>
        </w:rPr>
        <w:t>园区管网管沟开挖，管沟断面形式采用放坡开挖，梯形断面开挖时沟底宽为1.</w:t>
      </w:r>
      <w:r>
        <w:rPr>
          <w:color w:val="auto"/>
          <w:sz w:val="24"/>
        </w:rPr>
        <w:t>1</w:t>
      </w:r>
      <w:r>
        <w:rPr>
          <w:rFonts w:hint="eastAsia"/>
          <w:color w:val="auto"/>
          <w:sz w:val="24"/>
        </w:rPr>
        <w:t>~</w:t>
      </w:r>
      <w:r>
        <w:rPr>
          <w:color w:val="auto"/>
          <w:sz w:val="24"/>
        </w:rPr>
        <w:t>2.6</w:t>
      </w:r>
      <w:r>
        <w:rPr>
          <w:rFonts w:hint="eastAsia"/>
          <w:color w:val="auto"/>
          <w:sz w:val="24"/>
        </w:rPr>
        <w:t>m，开挖边坡比取1:0.</w:t>
      </w:r>
      <w:r>
        <w:rPr>
          <w:color w:val="auto"/>
          <w:sz w:val="24"/>
        </w:rPr>
        <w:t>25</w:t>
      </w:r>
      <w:r>
        <w:rPr>
          <w:rFonts w:hint="eastAsia"/>
          <w:color w:val="auto"/>
          <w:sz w:val="24"/>
        </w:rPr>
        <w:t>，管顶覆土不低于</w:t>
      </w:r>
      <w:r>
        <w:rPr>
          <w:color w:val="auto"/>
          <w:sz w:val="24"/>
        </w:rPr>
        <w:t>5</w:t>
      </w:r>
      <w:r>
        <w:rPr>
          <w:rFonts w:hint="eastAsia"/>
          <w:color w:val="auto"/>
          <w:sz w:val="24"/>
        </w:rPr>
        <w:t>0cm。根据主体设计资料，管沟开挖土方1</w:t>
      </w:r>
      <w:r>
        <w:rPr>
          <w:color w:val="auto"/>
          <w:sz w:val="24"/>
        </w:rPr>
        <w:t>.93</w:t>
      </w:r>
      <w:r>
        <w:rPr>
          <w:rFonts w:hint="eastAsia"/>
          <w:color w:val="auto"/>
          <w:sz w:val="24"/>
        </w:rPr>
        <w:t>万m</w:t>
      </w:r>
      <w:r>
        <w:rPr>
          <w:color w:val="auto"/>
          <w:sz w:val="24"/>
          <w:vertAlign w:val="superscript"/>
        </w:rPr>
        <w:t>3</w:t>
      </w:r>
      <w:r>
        <w:rPr>
          <w:rFonts w:hint="eastAsia"/>
          <w:color w:val="auto"/>
          <w:sz w:val="24"/>
        </w:rPr>
        <w:t>；管道敷设完后进行回填压实，回填土方约1</w:t>
      </w:r>
      <w:r>
        <w:rPr>
          <w:color w:val="auto"/>
          <w:sz w:val="24"/>
        </w:rPr>
        <w:t>.15</w:t>
      </w:r>
      <w:r>
        <w:rPr>
          <w:rFonts w:hint="eastAsia"/>
          <w:color w:val="auto"/>
          <w:sz w:val="24"/>
        </w:rPr>
        <w:t>万m</w:t>
      </w:r>
      <w:r>
        <w:rPr>
          <w:color w:val="auto"/>
          <w:sz w:val="24"/>
          <w:vertAlign w:val="superscript"/>
        </w:rPr>
        <w:t>3</w:t>
      </w:r>
      <w:r>
        <w:rPr>
          <w:rFonts w:hint="eastAsia"/>
          <w:color w:val="auto"/>
          <w:sz w:val="24"/>
        </w:rPr>
        <w:t>。多余土方运至厂区回填。</w:t>
      </w:r>
    </w:p>
    <w:p>
      <w:pPr>
        <w:spacing w:line="360" w:lineRule="auto"/>
        <w:ind w:firstLine="480" w:firstLineChars="200"/>
        <w:contextualSpacing/>
        <w:rPr>
          <w:color w:val="auto"/>
          <w:sz w:val="24"/>
        </w:rPr>
      </w:pPr>
      <w:r>
        <w:rPr>
          <w:rFonts w:hint="eastAsia"/>
          <w:color w:val="auto"/>
          <w:sz w:val="24"/>
        </w:rPr>
        <w:t>综上，本项目土石方挖填方总量</w:t>
      </w:r>
      <w:r>
        <w:rPr>
          <w:color w:val="auto"/>
          <w:sz w:val="24"/>
        </w:rPr>
        <w:t>4.50</w:t>
      </w:r>
      <w:r>
        <w:rPr>
          <w:rFonts w:hint="eastAsia"/>
          <w:color w:val="auto"/>
          <w:sz w:val="24"/>
        </w:rPr>
        <w:t>万m</w:t>
      </w:r>
      <w:r>
        <w:rPr>
          <w:rFonts w:hint="eastAsia"/>
          <w:color w:val="auto"/>
          <w:sz w:val="24"/>
          <w:vertAlign w:val="superscript"/>
        </w:rPr>
        <w:t>3</w:t>
      </w:r>
      <w:r>
        <w:rPr>
          <w:rFonts w:hint="eastAsia"/>
          <w:color w:val="auto"/>
          <w:sz w:val="24"/>
        </w:rPr>
        <w:t>，其中挖方量</w:t>
      </w:r>
      <w:r>
        <w:rPr>
          <w:color w:val="auto"/>
          <w:sz w:val="24"/>
        </w:rPr>
        <w:t>2.25</w:t>
      </w:r>
      <w:r>
        <w:rPr>
          <w:rFonts w:hint="eastAsia"/>
          <w:color w:val="auto"/>
          <w:sz w:val="24"/>
        </w:rPr>
        <w:t>万m</w:t>
      </w:r>
      <w:r>
        <w:rPr>
          <w:rFonts w:hint="eastAsia"/>
          <w:color w:val="auto"/>
          <w:sz w:val="24"/>
          <w:vertAlign w:val="superscript"/>
        </w:rPr>
        <w:t>3</w:t>
      </w:r>
      <w:r>
        <w:rPr>
          <w:rFonts w:hint="eastAsia"/>
          <w:color w:val="auto"/>
          <w:sz w:val="24"/>
        </w:rPr>
        <w:t>，填方量</w:t>
      </w:r>
      <w:r>
        <w:rPr>
          <w:color w:val="auto"/>
          <w:sz w:val="24"/>
        </w:rPr>
        <w:t>2.25</w:t>
      </w:r>
      <w:r>
        <w:rPr>
          <w:rFonts w:hint="eastAsia"/>
          <w:color w:val="auto"/>
          <w:sz w:val="24"/>
        </w:rPr>
        <w:t>万m</w:t>
      </w:r>
      <w:r>
        <w:rPr>
          <w:rFonts w:hint="eastAsia"/>
          <w:color w:val="auto"/>
          <w:sz w:val="24"/>
          <w:vertAlign w:val="superscript"/>
        </w:rPr>
        <w:t>3</w:t>
      </w:r>
      <w:r>
        <w:rPr>
          <w:rFonts w:hint="eastAsia"/>
          <w:color w:val="auto"/>
          <w:sz w:val="24"/>
        </w:rPr>
        <w:t>，无借方，无弃方。</w:t>
      </w:r>
    </w:p>
    <w:p>
      <w:pPr>
        <w:spacing w:line="360" w:lineRule="auto"/>
        <w:ind w:firstLine="480" w:firstLineChars="200"/>
        <w:contextualSpacing/>
        <w:rPr>
          <w:color w:val="auto"/>
          <w:sz w:val="24"/>
        </w:rPr>
      </w:pPr>
      <w:r>
        <w:rPr>
          <w:color w:val="auto"/>
          <w:sz w:val="24"/>
        </w:rPr>
        <w:t>本工程土石方平衡情况见表2.4-1，土石方平衡流向图见图2.4-1。</w:t>
      </w:r>
    </w:p>
    <w:p>
      <w:pPr>
        <w:pStyle w:val="11"/>
        <w:adjustRightInd w:val="0"/>
        <w:snapToGrid w:val="0"/>
        <w:spacing w:after="0" w:line="300" w:lineRule="auto"/>
        <w:contextualSpacing/>
        <w:jc w:val="center"/>
        <w:rPr>
          <w:b/>
          <w:color w:val="auto"/>
          <w:sz w:val="21"/>
          <w:szCs w:val="21"/>
        </w:rPr>
      </w:pPr>
      <w:r>
        <w:rPr>
          <w:rFonts w:hint="eastAsia"/>
          <w:b/>
          <w:color w:val="auto"/>
          <w:sz w:val="21"/>
          <w:szCs w:val="21"/>
        </w:rPr>
        <w:t xml:space="preserve"> </w:t>
      </w:r>
      <w:r>
        <w:rPr>
          <w:b/>
          <w:color w:val="auto"/>
          <w:sz w:val="21"/>
          <w:szCs w:val="21"/>
        </w:rPr>
        <w:t xml:space="preserve">              表2.4-1     </w:t>
      </w:r>
      <w:r>
        <w:rPr>
          <w:rFonts w:hint="eastAsia"/>
          <w:b/>
          <w:color w:val="auto"/>
          <w:sz w:val="21"/>
          <w:szCs w:val="21"/>
        </w:rPr>
        <w:t>一般土方</w:t>
      </w:r>
      <w:r>
        <w:rPr>
          <w:b/>
          <w:color w:val="auto"/>
          <w:sz w:val="21"/>
          <w:szCs w:val="21"/>
        </w:rPr>
        <w:t>平衡表</w:t>
      </w:r>
      <w:r>
        <w:rPr>
          <w:rFonts w:hint="eastAsia"/>
          <w:b/>
          <w:color w:val="auto"/>
          <w:sz w:val="21"/>
          <w:szCs w:val="21"/>
        </w:rPr>
        <w:t xml:space="preserve"> </w:t>
      </w:r>
      <w:r>
        <w:rPr>
          <w:b/>
          <w:color w:val="auto"/>
          <w:sz w:val="21"/>
          <w:szCs w:val="21"/>
        </w:rPr>
        <w:t xml:space="preserve">                   </w:t>
      </w:r>
      <w:r>
        <w:rPr>
          <w:rFonts w:hint="eastAsia"/>
          <w:b/>
          <w:color w:val="auto"/>
          <w:sz w:val="21"/>
          <w:szCs w:val="21"/>
        </w:rPr>
        <w:t>单位：万m</w:t>
      </w:r>
      <w:r>
        <w:rPr>
          <w:b/>
          <w:color w:val="auto"/>
          <w:sz w:val="21"/>
          <w:szCs w:val="21"/>
          <w:vertAlign w:val="superscript"/>
        </w:rPr>
        <w:t>3</w:t>
      </w:r>
    </w:p>
    <w:tbl>
      <w:tblPr>
        <w:tblStyle w:val="25"/>
        <w:tblW w:w="54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408"/>
        <w:gridCol w:w="807"/>
        <w:gridCol w:w="741"/>
        <w:gridCol w:w="741"/>
        <w:gridCol w:w="777"/>
        <w:gridCol w:w="741"/>
        <w:gridCol w:w="636"/>
        <w:gridCol w:w="639"/>
        <w:gridCol w:w="654"/>
        <w:gridCol w:w="836"/>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vMerge w:val="restart"/>
            <w:vAlign w:val="center"/>
          </w:tcPr>
          <w:p>
            <w:pPr>
              <w:jc w:val="center"/>
              <w:rPr>
                <w:color w:val="auto"/>
                <w:sz w:val="21"/>
                <w:szCs w:val="21"/>
              </w:rPr>
            </w:pPr>
            <w:r>
              <w:rPr>
                <w:rFonts w:hint="eastAsia"/>
                <w:color w:val="auto"/>
                <w:sz w:val="21"/>
                <w:szCs w:val="21"/>
              </w:rPr>
              <w:t>序号</w:t>
            </w:r>
          </w:p>
        </w:tc>
        <w:tc>
          <w:tcPr>
            <w:tcW w:w="756" w:type="pct"/>
            <w:vMerge w:val="restart"/>
            <w:vAlign w:val="center"/>
          </w:tcPr>
          <w:p>
            <w:pPr>
              <w:jc w:val="center"/>
              <w:rPr>
                <w:color w:val="auto"/>
                <w:sz w:val="21"/>
                <w:szCs w:val="21"/>
              </w:rPr>
            </w:pPr>
            <w:r>
              <w:rPr>
                <w:rFonts w:hint="eastAsia"/>
                <w:color w:val="auto"/>
                <w:sz w:val="21"/>
                <w:szCs w:val="21"/>
              </w:rPr>
              <w:t>项目分区</w:t>
            </w:r>
          </w:p>
        </w:tc>
        <w:tc>
          <w:tcPr>
            <w:tcW w:w="433" w:type="pct"/>
            <w:vMerge w:val="restart"/>
            <w:vAlign w:val="center"/>
          </w:tcPr>
          <w:p>
            <w:pPr>
              <w:jc w:val="center"/>
              <w:rPr>
                <w:color w:val="auto"/>
                <w:sz w:val="21"/>
                <w:szCs w:val="21"/>
              </w:rPr>
            </w:pPr>
            <w:r>
              <w:rPr>
                <w:rFonts w:hint="eastAsia"/>
                <w:color w:val="auto"/>
                <w:sz w:val="21"/>
                <w:szCs w:val="21"/>
              </w:rPr>
              <w:t>挖方</w:t>
            </w:r>
          </w:p>
        </w:tc>
        <w:tc>
          <w:tcPr>
            <w:tcW w:w="398" w:type="pct"/>
            <w:vMerge w:val="restart"/>
            <w:vAlign w:val="center"/>
          </w:tcPr>
          <w:p>
            <w:pPr>
              <w:jc w:val="center"/>
              <w:rPr>
                <w:color w:val="auto"/>
                <w:sz w:val="21"/>
                <w:szCs w:val="21"/>
              </w:rPr>
            </w:pPr>
            <w:r>
              <w:rPr>
                <w:rFonts w:hint="eastAsia"/>
                <w:color w:val="auto"/>
                <w:sz w:val="21"/>
                <w:szCs w:val="21"/>
              </w:rPr>
              <w:t>填方</w:t>
            </w:r>
          </w:p>
        </w:tc>
        <w:tc>
          <w:tcPr>
            <w:tcW w:w="815" w:type="pct"/>
            <w:gridSpan w:val="2"/>
            <w:noWrap/>
            <w:vAlign w:val="center"/>
          </w:tcPr>
          <w:p>
            <w:pPr>
              <w:jc w:val="center"/>
              <w:rPr>
                <w:color w:val="auto"/>
                <w:sz w:val="21"/>
                <w:szCs w:val="21"/>
              </w:rPr>
            </w:pPr>
            <w:r>
              <w:rPr>
                <w:color w:val="auto"/>
                <w:sz w:val="21"/>
                <w:szCs w:val="21"/>
              </w:rPr>
              <w:t>调入</w:t>
            </w:r>
          </w:p>
        </w:tc>
        <w:tc>
          <w:tcPr>
            <w:tcW w:w="739" w:type="pct"/>
            <w:gridSpan w:val="2"/>
            <w:noWrap/>
            <w:vAlign w:val="center"/>
          </w:tcPr>
          <w:p>
            <w:pPr>
              <w:jc w:val="center"/>
              <w:rPr>
                <w:color w:val="auto"/>
                <w:sz w:val="21"/>
                <w:szCs w:val="21"/>
              </w:rPr>
            </w:pPr>
            <w:r>
              <w:rPr>
                <w:color w:val="auto"/>
                <w:sz w:val="21"/>
                <w:szCs w:val="21"/>
              </w:rPr>
              <w:t>调出</w:t>
            </w:r>
          </w:p>
        </w:tc>
        <w:tc>
          <w:tcPr>
            <w:tcW w:w="694" w:type="pct"/>
            <w:gridSpan w:val="2"/>
            <w:vAlign w:val="center"/>
          </w:tcPr>
          <w:p>
            <w:pPr>
              <w:jc w:val="center"/>
              <w:rPr>
                <w:color w:val="auto"/>
                <w:sz w:val="21"/>
                <w:szCs w:val="21"/>
              </w:rPr>
            </w:pPr>
            <w:r>
              <w:rPr>
                <w:color w:val="auto"/>
                <w:kern w:val="0"/>
                <w:sz w:val="21"/>
                <w:szCs w:val="21"/>
                <w:lang w:bidi="ar"/>
              </w:rPr>
              <w:t>借方</w:t>
            </w:r>
          </w:p>
        </w:tc>
        <w:tc>
          <w:tcPr>
            <w:tcW w:w="894" w:type="pct"/>
            <w:gridSpan w:val="2"/>
            <w:vAlign w:val="center"/>
          </w:tcPr>
          <w:p>
            <w:pPr>
              <w:jc w:val="center"/>
              <w:rPr>
                <w:color w:val="auto"/>
                <w:sz w:val="21"/>
                <w:szCs w:val="21"/>
              </w:rPr>
            </w:pPr>
            <w:r>
              <w:rPr>
                <w:color w:val="auto"/>
                <w:kern w:val="0"/>
                <w:sz w:val="21"/>
                <w:szCs w:val="21"/>
                <w:lang w:bidi="ar"/>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jc w:val="center"/>
              <w:rPr>
                <w:color w:val="auto"/>
                <w:sz w:val="21"/>
                <w:szCs w:val="21"/>
              </w:rPr>
            </w:pPr>
          </w:p>
        </w:tc>
        <w:tc>
          <w:tcPr>
            <w:tcW w:w="756" w:type="pct"/>
            <w:vMerge w:val="continue"/>
            <w:vAlign w:val="center"/>
          </w:tcPr>
          <w:p>
            <w:pPr>
              <w:jc w:val="center"/>
              <w:rPr>
                <w:color w:val="auto"/>
                <w:sz w:val="21"/>
                <w:szCs w:val="21"/>
              </w:rPr>
            </w:pPr>
          </w:p>
        </w:tc>
        <w:tc>
          <w:tcPr>
            <w:tcW w:w="433" w:type="pct"/>
            <w:vMerge w:val="continue"/>
            <w:vAlign w:val="center"/>
          </w:tcPr>
          <w:p>
            <w:pPr>
              <w:jc w:val="center"/>
              <w:rPr>
                <w:color w:val="auto"/>
                <w:sz w:val="21"/>
                <w:szCs w:val="21"/>
              </w:rPr>
            </w:pPr>
          </w:p>
        </w:tc>
        <w:tc>
          <w:tcPr>
            <w:tcW w:w="398" w:type="pct"/>
            <w:vMerge w:val="continue"/>
            <w:vAlign w:val="center"/>
          </w:tcPr>
          <w:p>
            <w:pPr>
              <w:jc w:val="center"/>
              <w:rPr>
                <w:color w:val="auto"/>
                <w:sz w:val="21"/>
                <w:szCs w:val="21"/>
              </w:rPr>
            </w:pPr>
          </w:p>
        </w:tc>
        <w:tc>
          <w:tcPr>
            <w:tcW w:w="398" w:type="pct"/>
            <w:noWrap/>
            <w:vAlign w:val="center"/>
          </w:tcPr>
          <w:p>
            <w:pPr>
              <w:jc w:val="center"/>
              <w:rPr>
                <w:color w:val="auto"/>
                <w:sz w:val="21"/>
                <w:szCs w:val="21"/>
              </w:rPr>
            </w:pPr>
            <w:r>
              <w:rPr>
                <w:color w:val="auto"/>
                <w:sz w:val="21"/>
                <w:szCs w:val="21"/>
              </w:rPr>
              <w:t>数量</w:t>
            </w:r>
          </w:p>
        </w:tc>
        <w:tc>
          <w:tcPr>
            <w:tcW w:w="417" w:type="pct"/>
            <w:noWrap/>
            <w:vAlign w:val="center"/>
          </w:tcPr>
          <w:p>
            <w:pPr>
              <w:jc w:val="center"/>
              <w:rPr>
                <w:color w:val="auto"/>
                <w:sz w:val="21"/>
                <w:szCs w:val="21"/>
              </w:rPr>
            </w:pPr>
            <w:r>
              <w:rPr>
                <w:color w:val="auto"/>
                <w:sz w:val="21"/>
                <w:szCs w:val="21"/>
              </w:rPr>
              <w:t>来源</w:t>
            </w:r>
          </w:p>
        </w:tc>
        <w:tc>
          <w:tcPr>
            <w:tcW w:w="398" w:type="pct"/>
            <w:noWrap/>
            <w:vAlign w:val="center"/>
          </w:tcPr>
          <w:p>
            <w:pPr>
              <w:jc w:val="center"/>
              <w:rPr>
                <w:color w:val="auto"/>
                <w:sz w:val="21"/>
                <w:szCs w:val="21"/>
              </w:rPr>
            </w:pPr>
            <w:r>
              <w:rPr>
                <w:color w:val="auto"/>
                <w:sz w:val="21"/>
                <w:szCs w:val="21"/>
              </w:rPr>
              <w:t>数量</w:t>
            </w:r>
          </w:p>
        </w:tc>
        <w:tc>
          <w:tcPr>
            <w:tcW w:w="341" w:type="pct"/>
            <w:noWrap/>
            <w:vAlign w:val="center"/>
          </w:tcPr>
          <w:p>
            <w:pPr>
              <w:jc w:val="center"/>
              <w:rPr>
                <w:color w:val="auto"/>
                <w:sz w:val="21"/>
                <w:szCs w:val="21"/>
              </w:rPr>
            </w:pPr>
            <w:r>
              <w:rPr>
                <w:color w:val="auto"/>
                <w:sz w:val="21"/>
                <w:szCs w:val="21"/>
              </w:rPr>
              <w:t>去向</w:t>
            </w:r>
          </w:p>
        </w:tc>
        <w:tc>
          <w:tcPr>
            <w:tcW w:w="343" w:type="pct"/>
            <w:vAlign w:val="center"/>
          </w:tcPr>
          <w:p>
            <w:pPr>
              <w:jc w:val="center"/>
              <w:rPr>
                <w:color w:val="auto"/>
                <w:sz w:val="21"/>
                <w:szCs w:val="21"/>
              </w:rPr>
            </w:pPr>
            <w:r>
              <w:rPr>
                <w:color w:val="auto"/>
                <w:sz w:val="21"/>
                <w:szCs w:val="21"/>
              </w:rPr>
              <w:t>数量</w:t>
            </w:r>
          </w:p>
        </w:tc>
        <w:tc>
          <w:tcPr>
            <w:tcW w:w="351" w:type="pct"/>
            <w:vAlign w:val="center"/>
          </w:tcPr>
          <w:p>
            <w:pPr>
              <w:jc w:val="center"/>
              <w:rPr>
                <w:color w:val="auto"/>
                <w:sz w:val="21"/>
                <w:szCs w:val="21"/>
              </w:rPr>
            </w:pPr>
            <w:r>
              <w:rPr>
                <w:color w:val="auto"/>
                <w:sz w:val="21"/>
                <w:szCs w:val="21"/>
              </w:rPr>
              <w:t>来源</w:t>
            </w:r>
          </w:p>
        </w:tc>
        <w:tc>
          <w:tcPr>
            <w:tcW w:w="449" w:type="pct"/>
            <w:vAlign w:val="center"/>
          </w:tcPr>
          <w:p>
            <w:pPr>
              <w:jc w:val="center"/>
              <w:rPr>
                <w:color w:val="auto"/>
                <w:sz w:val="21"/>
                <w:szCs w:val="21"/>
              </w:rPr>
            </w:pPr>
            <w:r>
              <w:rPr>
                <w:color w:val="auto"/>
                <w:sz w:val="21"/>
                <w:szCs w:val="21"/>
              </w:rPr>
              <w:t>数量</w:t>
            </w:r>
          </w:p>
        </w:tc>
        <w:tc>
          <w:tcPr>
            <w:tcW w:w="445" w:type="pct"/>
            <w:vAlign w:val="center"/>
          </w:tcPr>
          <w:p>
            <w:pPr>
              <w:jc w:val="center"/>
              <w:rPr>
                <w:color w:val="auto"/>
                <w:sz w:val="21"/>
                <w:szCs w:val="21"/>
              </w:rPr>
            </w:pPr>
            <w:r>
              <w:rPr>
                <w:color w:val="auto"/>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ign w:val="center"/>
          </w:tcPr>
          <w:p>
            <w:pPr>
              <w:jc w:val="center"/>
              <w:rPr>
                <w:color w:val="auto"/>
                <w:sz w:val="21"/>
                <w:szCs w:val="21"/>
              </w:rPr>
            </w:pPr>
            <w:r>
              <w:rPr>
                <w:rFonts w:hint="eastAsia"/>
                <w:color w:val="auto"/>
                <w:sz w:val="21"/>
                <w:szCs w:val="21"/>
              </w:rPr>
              <w:t>①</w:t>
            </w:r>
          </w:p>
        </w:tc>
        <w:tc>
          <w:tcPr>
            <w:tcW w:w="756" w:type="pct"/>
            <w:vAlign w:val="center"/>
          </w:tcPr>
          <w:p>
            <w:pPr>
              <w:jc w:val="center"/>
              <w:rPr>
                <w:color w:val="auto"/>
                <w:sz w:val="21"/>
                <w:szCs w:val="21"/>
              </w:rPr>
            </w:pPr>
            <w:r>
              <w:rPr>
                <w:rFonts w:hint="eastAsia"/>
                <w:color w:val="auto"/>
                <w:sz w:val="21"/>
                <w:szCs w:val="21"/>
              </w:rPr>
              <w:t>建构筑物区</w:t>
            </w:r>
          </w:p>
        </w:tc>
        <w:tc>
          <w:tcPr>
            <w:tcW w:w="433" w:type="pct"/>
            <w:noWrap/>
            <w:vAlign w:val="center"/>
          </w:tcPr>
          <w:p>
            <w:pPr>
              <w:jc w:val="center"/>
              <w:rPr>
                <w:color w:val="auto"/>
                <w:sz w:val="21"/>
                <w:szCs w:val="21"/>
              </w:rPr>
            </w:pPr>
            <w:r>
              <w:rPr>
                <w:rFonts w:hint="eastAsia"/>
                <w:color w:val="auto"/>
                <w:sz w:val="21"/>
                <w:szCs w:val="21"/>
              </w:rPr>
              <w:t>0</w:t>
            </w:r>
            <w:r>
              <w:rPr>
                <w:color w:val="auto"/>
                <w:sz w:val="21"/>
                <w:szCs w:val="21"/>
              </w:rPr>
              <w:t>.32</w:t>
            </w:r>
          </w:p>
        </w:tc>
        <w:tc>
          <w:tcPr>
            <w:tcW w:w="398" w:type="pct"/>
            <w:noWrap/>
            <w:vAlign w:val="center"/>
          </w:tcPr>
          <w:p>
            <w:pPr>
              <w:jc w:val="center"/>
              <w:rPr>
                <w:color w:val="auto"/>
                <w:sz w:val="21"/>
                <w:szCs w:val="21"/>
              </w:rPr>
            </w:pPr>
            <w:r>
              <w:rPr>
                <w:rFonts w:hint="eastAsia"/>
                <w:color w:val="auto"/>
                <w:sz w:val="21"/>
                <w:szCs w:val="21"/>
              </w:rPr>
              <w:t>0</w:t>
            </w:r>
            <w:r>
              <w:rPr>
                <w:color w:val="auto"/>
                <w:sz w:val="21"/>
                <w:szCs w:val="21"/>
              </w:rPr>
              <w:t>.26</w:t>
            </w:r>
          </w:p>
        </w:tc>
        <w:tc>
          <w:tcPr>
            <w:tcW w:w="398" w:type="pct"/>
            <w:noWrap/>
            <w:vAlign w:val="center"/>
          </w:tcPr>
          <w:p>
            <w:pPr>
              <w:jc w:val="center"/>
              <w:rPr>
                <w:color w:val="auto"/>
                <w:sz w:val="21"/>
                <w:szCs w:val="21"/>
              </w:rPr>
            </w:pPr>
            <w:r>
              <w:rPr>
                <w:rFonts w:hint="eastAsia"/>
                <w:color w:val="auto"/>
                <w:sz w:val="21"/>
                <w:szCs w:val="21"/>
              </w:rPr>
              <w:t>0</w:t>
            </w:r>
          </w:p>
        </w:tc>
        <w:tc>
          <w:tcPr>
            <w:tcW w:w="417" w:type="pct"/>
            <w:noWrap/>
            <w:vAlign w:val="center"/>
          </w:tcPr>
          <w:p>
            <w:pPr>
              <w:jc w:val="center"/>
              <w:rPr>
                <w:color w:val="auto"/>
                <w:sz w:val="21"/>
                <w:szCs w:val="21"/>
              </w:rPr>
            </w:pPr>
            <w:r>
              <w:rPr>
                <w:rFonts w:hint="eastAsia"/>
                <w:color w:val="auto"/>
                <w:sz w:val="21"/>
                <w:szCs w:val="21"/>
              </w:rPr>
              <w:t>/</w:t>
            </w:r>
          </w:p>
        </w:tc>
        <w:tc>
          <w:tcPr>
            <w:tcW w:w="398" w:type="pct"/>
            <w:noWrap/>
            <w:vAlign w:val="center"/>
          </w:tcPr>
          <w:p>
            <w:pPr>
              <w:jc w:val="center"/>
              <w:rPr>
                <w:color w:val="auto"/>
                <w:sz w:val="21"/>
                <w:szCs w:val="21"/>
              </w:rPr>
            </w:pPr>
            <w:r>
              <w:rPr>
                <w:color w:val="auto"/>
                <w:sz w:val="21"/>
                <w:szCs w:val="21"/>
              </w:rPr>
              <w:t>0.06</w:t>
            </w:r>
          </w:p>
        </w:tc>
        <w:tc>
          <w:tcPr>
            <w:tcW w:w="341" w:type="pct"/>
            <w:noWrap/>
            <w:vAlign w:val="center"/>
          </w:tcPr>
          <w:p>
            <w:pPr>
              <w:jc w:val="center"/>
              <w:rPr>
                <w:color w:val="auto"/>
                <w:sz w:val="21"/>
                <w:szCs w:val="21"/>
              </w:rPr>
            </w:pPr>
            <w:r>
              <w:rPr>
                <w:rFonts w:hint="eastAsia"/>
                <w:color w:val="auto"/>
                <w:sz w:val="21"/>
                <w:szCs w:val="21"/>
              </w:rPr>
              <w:t>②</w:t>
            </w:r>
          </w:p>
        </w:tc>
        <w:tc>
          <w:tcPr>
            <w:tcW w:w="343" w:type="pct"/>
            <w:vAlign w:val="center"/>
          </w:tcPr>
          <w:p>
            <w:pPr>
              <w:jc w:val="center"/>
              <w:rPr>
                <w:color w:val="auto"/>
                <w:sz w:val="21"/>
                <w:szCs w:val="21"/>
              </w:rPr>
            </w:pPr>
            <w:r>
              <w:rPr>
                <w:rFonts w:hint="eastAsia"/>
                <w:color w:val="auto"/>
                <w:sz w:val="21"/>
                <w:szCs w:val="21"/>
              </w:rPr>
              <w:t>0</w:t>
            </w:r>
          </w:p>
        </w:tc>
        <w:tc>
          <w:tcPr>
            <w:tcW w:w="351" w:type="pct"/>
            <w:vAlign w:val="center"/>
          </w:tcPr>
          <w:p>
            <w:pPr>
              <w:jc w:val="center"/>
              <w:rPr>
                <w:color w:val="auto"/>
                <w:sz w:val="21"/>
                <w:szCs w:val="21"/>
              </w:rPr>
            </w:pPr>
            <w:r>
              <w:rPr>
                <w:rFonts w:hint="eastAsia"/>
                <w:color w:val="auto"/>
                <w:sz w:val="21"/>
                <w:szCs w:val="21"/>
              </w:rPr>
              <w:t>/</w:t>
            </w:r>
          </w:p>
        </w:tc>
        <w:tc>
          <w:tcPr>
            <w:tcW w:w="449" w:type="pct"/>
            <w:vAlign w:val="center"/>
          </w:tcPr>
          <w:p>
            <w:pPr>
              <w:jc w:val="center"/>
              <w:rPr>
                <w:color w:val="auto"/>
                <w:sz w:val="21"/>
                <w:szCs w:val="21"/>
              </w:rPr>
            </w:pPr>
            <w:r>
              <w:rPr>
                <w:rFonts w:hint="eastAsia"/>
                <w:color w:val="auto"/>
                <w:sz w:val="21"/>
                <w:szCs w:val="21"/>
              </w:rPr>
              <w:t>0</w:t>
            </w:r>
          </w:p>
        </w:tc>
        <w:tc>
          <w:tcPr>
            <w:tcW w:w="445" w:type="pct"/>
            <w:vAlign w:val="center"/>
          </w:tcPr>
          <w:p>
            <w:pPr>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ign w:val="center"/>
          </w:tcPr>
          <w:p>
            <w:pPr>
              <w:jc w:val="center"/>
              <w:rPr>
                <w:color w:val="auto"/>
                <w:sz w:val="21"/>
                <w:szCs w:val="21"/>
              </w:rPr>
            </w:pPr>
            <w:r>
              <w:rPr>
                <w:rFonts w:hint="eastAsia"/>
                <w:color w:val="auto"/>
                <w:sz w:val="21"/>
                <w:szCs w:val="21"/>
              </w:rPr>
              <w:t>②</w:t>
            </w:r>
          </w:p>
        </w:tc>
        <w:tc>
          <w:tcPr>
            <w:tcW w:w="756" w:type="pct"/>
            <w:vAlign w:val="center"/>
          </w:tcPr>
          <w:p>
            <w:pPr>
              <w:spacing w:line="240" w:lineRule="exact"/>
              <w:jc w:val="center"/>
              <w:rPr>
                <w:color w:val="auto"/>
                <w:sz w:val="21"/>
                <w:szCs w:val="21"/>
              </w:rPr>
            </w:pPr>
            <w:r>
              <w:rPr>
                <w:rFonts w:hint="eastAsia"/>
                <w:color w:val="auto"/>
                <w:sz w:val="21"/>
                <w:szCs w:val="21"/>
              </w:rPr>
              <w:t>道路地面硬化区</w:t>
            </w:r>
          </w:p>
        </w:tc>
        <w:tc>
          <w:tcPr>
            <w:tcW w:w="433" w:type="pct"/>
            <w:noWrap/>
            <w:vAlign w:val="center"/>
          </w:tcPr>
          <w:p>
            <w:pPr>
              <w:jc w:val="center"/>
              <w:rPr>
                <w:color w:val="auto"/>
                <w:sz w:val="21"/>
                <w:szCs w:val="21"/>
              </w:rPr>
            </w:pPr>
            <w:r>
              <w:rPr>
                <w:rFonts w:hint="eastAsia"/>
                <w:color w:val="auto"/>
                <w:sz w:val="21"/>
                <w:szCs w:val="21"/>
              </w:rPr>
              <w:t>0</w:t>
            </w:r>
          </w:p>
        </w:tc>
        <w:tc>
          <w:tcPr>
            <w:tcW w:w="398" w:type="pct"/>
            <w:noWrap/>
            <w:vAlign w:val="center"/>
          </w:tcPr>
          <w:p>
            <w:pPr>
              <w:jc w:val="center"/>
              <w:rPr>
                <w:color w:val="auto"/>
                <w:sz w:val="21"/>
                <w:szCs w:val="21"/>
              </w:rPr>
            </w:pPr>
            <w:r>
              <w:rPr>
                <w:rFonts w:hint="eastAsia"/>
                <w:color w:val="auto"/>
                <w:sz w:val="21"/>
                <w:szCs w:val="21"/>
              </w:rPr>
              <w:t>0</w:t>
            </w:r>
            <w:r>
              <w:rPr>
                <w:color w:val="auto"/>
                <w:sz w:val="21"/>
                <w:szCs w:val="21"/>
              </w:rPr>
              <w:t>.36</w:t>
            </w:r>
          </w:p>
        </w:tc>
        <w:tc>
          <w:tcPr>
            <w:tcW w:w="398" w:type="pct"/>
            <w:noWrap/>
            <w:vAlign w:val="center"/>
          </w:tcPr>
          <w:p>
            <w:pPr>
              <w:jc w:val="center"/>
              <w:rPr>
                <w:color w:val="auto"/>
                <w:sz w:val="21"/>
                <w:szCs w:val="21"/>
              </w:rPr>
            </w:pPr>
            <w:r>
              <w:rPr>
                <w:color w:val="auto"/>
                <w:sz w:val="21"/>
                <w:szCs w:val="21"/>
              </w:rPr>
              <w:t>0.36</w:t>
            </w:r>
          </w:p>
        </w:tc>
        <w:tc>
          <w:tcPr>
            <w:tcW w:w="417" w:type="pct"/>
            <w:noWrap/>
            <w:vAlign w:val="center"/>
          </w:tcPr>
          <w:p>
            <w:pPr>
              <w:jc w:val="center"/>
              <w:rPr>
                <w:color w:val="auto"/>
                <w:sz w:val="21"/>
                <w:szCs w:val="21"/>
              </w:rPr>
            </w:pPr>
            <w:r>
              <w:rPr>
                <w:rFonts w:hint="eastAsia"/>
                <w:color w:val="auto"/>
                <w:sz w:val="21"/>
                <w:szCs w:val="21"/>
              </w:rPr>
              <w:t>①④</w:t>
            </w:r>
          </w:p>
        </w:tc>
        <w:tc>
          <w:tcPr>
            <w:tcW w:w="398" w:type="pct"/>
            <w:noWrap/>
            <w:vAlign w:val="center"/>
          </w:tcPr>
          <w:p>
            <w:pPr>
              <w:jc w:val="center"/>
              <w:rPr>
                <w:color w:val="auto"/>
                <w:sz w:val="21"/>
                <w:szCs w:val="21"/>
              </w:rPr>
            </w:pPr>
            <w:r>
              <w:rPr>
                <w:rFonts w:hint="eastAsia"/>
                <w:color w:val="auto"/>
                <w:sz w:val="21"/>
                <w:szCs w:val="21"/>
              </w:rPr>
              <w:t>0</w:t>
            </w:r>
          </w:p>
        </w:tc>
        <w:tc>
          <w:tcPr>
            <w:tcW w:w="341" w:type="pct"/>
            <w:noWrap/>
            <w:vAlign w:val="center"/>
          </w:tcPr>
          <w:p>
            <w:pPr>
              <w:jc w:val="center"/>
              <w:rPr>
                <w:color w:val="auto"/>
                <w:sz w:val="21"/>
                <w:szCs w:val="21"/>
              </w:rPr>
            </w:pPr>
            <w:r>
              <w:rPr>
                <w:rFonts w:hint="eastAsia"/>
                <w:color w:val="auto"/>
                <w:sz w:val="21"/>
                <w:szCs w:val="21"/>
              </w:rPr>
              <w:t>/</w:t>
            </w:r>
          </w:p>
        </w:tc>
        <w:tc>
          <w:tcPr>
            <w:tcW w:w="343" w:type="pct"/>
            <w:vAlign w:val="center"/>
          </w:tcPr>
          <w:p>
            <w:pPr>
              <w:jc w:val="center"/>
              <w:rPr>
                <w:color w:val="auto"/>
                <w:sz w:val="21"/>
                <w:szCs w:val="21"/>
              </w:rPr>
            </w:pPr>
            <w:r>
              <w:rPr>
                <w:rFonts w:hint="eastAsia"/>
                <w:color w:val="auto"/>
                <w:sz w:val="21"/>
                <w:szCs w:val="21"/>
              </w:rPr>
              <w:t>0</w:t>
            </w:r>
          </w:p>
        </w:tc>
        <w:tc>
          <w:tcPr>
            <w:tcW w:w="351" w:type="pct"/>
            <w:vAlign w:val="center"/>
          </w:tcPr>
          <w:p>
            <w:pPr>
              <w:jc w:val="center"/>
              <w:rPr>
                <w:color w:val="auto"/>
                <w:sz w:val="21"/>
                <w:szCs w:val="21"/>
              </w:rPr>
            </w:pPr>
            <w:r>
              <w:rPr>
                <w:rFonts w:hint="eastAsia"/>
                <w:color w:val="auto"/>
                <w:sz w:val="21"/>
                <w:szCs w:val="21"/>
              </w:rPr>
              <w:t>/</w:t>
            </w:r>
          </w:p>
        </w:tc>
        <w:tc>
          <w:tcPr>
            <w:tcW w:w="449" w:type="pct"/>
            <w:vAlign w:val="center"/>
          </w:tcPr>
          <w:p>
            <w:pPr>
              <w:jc w:val="center"/>
              <w:rPr>
                <w:color w:val="auto"/>
                <w:sz w:val="21"/>
                <w:szCs w:val="21"/>
              </w:rPr>
            </w:pPr>
            <w:r>
              <w:rPr>
                <w:rFonts w:hint="eastAsia"/>
                <w:color w:val="auto"/>
                <w:sz w:val="21"/>
                <w:szCs w:val="21"/>
              </w:rPr>
              <w:t>0</w:t>
            </w:r>
          </w:p>
        </w:tc>
        <w:tc>
          <w:tcPr>
            <w:tcW w:w="445" w:type="pct"/>
            <w:vAlign w:val="center"/>
          </w:tcPr>
          <w:p>
            <w:pPr>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ign w:val="center"/>
          </w:tcPr>
          <w:p>
            <w:pPr>
              <w:jc w:val="center"/>
              <w:rPr>
                <w:color w:val="auto"/>
                <w:sz w:val="21"/>
                <w:szCs w:val="21"/>
              </w:rPr>
            </w:pPr>
            <w:r>
              <w:rPr>
                <w:rFonts w:hint="eastAsia"/>
                <w:color w:val="auto"/>
                <w:sz w:val="21"/>
                <w:szCs w:val="21"/>
              </w:rPr>
              <w:t>③</w:t>
            </w:r>
          </w:p>
        </w:tc>
        <w:tc>
          <w:tcPr>
            <w:tcW w:w="756" w:type="pct"/>
            <w:vAlign w:val="center"/>
          </w:tcPr>
          <w:p>
            <w:pPr>
              <w:spacing w:line="240" w:lineRule="exact"/>
              <w:jc w:val="center"/>
              <w:rPr>
                <w:color w:val="auto"/>
                <w:sz w:val="21"/>
                <w:szCs w:val="21"/>
              </w:rPr>
            </w:pPr>
            <w:r>
              <w:rPr>
                <w:rFonts w:hint="eastAsia"/>
                <w:color w:val="auto"/>
                <w:sz w:val="21"/>
                <w:szCs w:val="21"/>
              </w:rPr>
              <w:t>绿化区</w:t>
            </w:r>
          </w:p>
        </w:tc>
        <w:tc>
          <w:tcPr>
            <w:tcW w:w="433" w:type="pct"/>
            <w:noWrap/>
            <w:vAlign w:val="center"/>
          </w:tcPr>
          <w:p>
            <w:pPr>
              <w:jc w:val="center"/>
              <w:rPr>
                <w:color w:val="auto"/>
                <w:sz w:val="21"/>
                <w:szCs w:val="21"/>
              </w:rPr>
            </w:pPr>
            <w:r>
              <w:rPr>
                <w:rFonts w:hint="eastAsia"/>
                <w:color w:val="auto"/>
                <w:sz w:val="21"/>
                <w:szCs w:val="21"/>
              </w:rPr>
              <w:t>0</w:t>
            </w:r>
          </w:p>
        </w:tc>
        <w:tc>
          <w:tcPr>
            <w:tcW w:w="398" w:type="pct"/>
            <w:noWrap/>
            <w:vAlign w:val="center"/>
          </w:tcPr>
          <w:p>
            <w:pPr>
              <w:jc w:val="center"/>
              <w:rPr>
                <w:color w:val="auto"/>
                <w:sz w:val="21"/>
                <w:szCs w:val="21"/>
              </w:rPr>
            </w:pPr>
            <w:r>
              <w:rPr>
                <w:rFonts w:hint="eastAsia"/>
                <w:color w:val="auto"/>
                <w:sz w:val="21"/>
                <w:szCs w:val="21"/>
              </w:rPr>
              <w:t>0</w:t>
            </w:r>
            <w:r>
              <w:rPr>
                <w:color w:val="auto"/>
                <w:sz w:val="21"/>
                <w:szCs w:val="21"/>
              </w:rPr>
              <w:t>.48</w:t>
            </w:r>
          </w:p>
        </w:tc>
        <w:tc>
          <w:tcPr>
            <w:tcW w:w="398" w:type="pct"/>
            <w:noWrap/>
            <w:vAlign w:val="center"/>
          </w:tcPr>
          <w:p>
            <w:pPr>
              <w:jc w:val="center"/>
              <w:rPr>
                <w:color w:val="auto"/>
                <w:sz w:val="21"/>
                <w:szCs w:val="21"/>
              </w:rPr>
            </w:pPr>
            <w:r>
              <w:rPr>
                <w:rFonts w:hint="eastAsia"/>
                <w:color w:val="auto"/>
                <w:sz w:val="21"/>
                <w:szCs w:val="21"/>
              </w:rPr>
              <w:t>0</w:t>
            </w:r>
            <w:r>
              <w:rPr>
                <w:color w:val="auto"/>
                <w:sz w:val="21"/>
                <w:szCs w:val="21"/>
              </w:rPr>
              <w:t>.48</w:t>
            </w:r>
          </w:p>
        </w:tc>
        <w:tc>
          <w:tcPr>
            <w:tcW w:w="417" w:type="pct"/>
            <w:noWrap/>
            <w:vAlign w:val="center"/>
          </w:tcPr>
          <w:p>
            <w:pPr>
              <w:jc w:val="center"/>
              <w:rPr>
                <w:color w:val="auto"/>
                <w:sz w:val="21"/>
                <w:szCs w:val="21"/>
              </w:rPr>
            </w:pPr>
            <w:r>
              <w:rPr>
                <w:rFonts w:hint="eastAsia"/>
                <w:color w:val="auto"/>
                <w:sz w:val="21"/>
                <w:szCs w:val="21"/>
              </w:rPr>
              <w:t>④</w:t>
            </w:r>
          </w:p>
        </w:tc>
        <w:tc>
          <w:tcPr>
            <w:tcW w:w="398" w:type="pct"/>
            <w:noWrap/>
            <w:vAlign w:val="center"/>
          </w:tcPr>
          <w:p>
            <w:pPr>
              <w:jc w:val="center"/>
              <w:rPr>
                <w:color w:val="auto"/>
                <w:sz w:val="21"/>
                <w:szCs w:val="21"/>
              </w:rPr>
            </w:pPr>
            <w:r>
              <w:rPr>
                <w:rFonts w:hint="eastAsia"/>
                <w:color w:val="auto"/>
                <w:sz w:val="21"/>
                <w:szCs w:val="21"/>
              </w:rPr>
              <w:t>0</w:t>
            </w:r>
          </w:p>
        </w:tc>
        <w:tc>
          <w:tcPr>
            <w:tcW w:w="341" w:type="pct"/>
            <w:noWrap/>
            <w:vAlign w:val="center"/>
          </w:tcPr>
          <w:p>
            <w:pPr>
              <w:jc w:val="center"/>
              <w:rPr>
                <w:color w:val="auto"/>
                <w:sz w:val="21"/>
                <w:szCs w:val="21"/>
              </w:rPr>
            </w:pPr>
            <w:r>
              <w:rPr>
                <w:rFonts w:hint="eastAsia"/>
                <w:color w:val="auto"/>
                <w:sz w:val="21"/>
                <w:szCs w:val="21"/>
              </w:rPr>
              <w:t>/</w:t>
            </w:r>
          </w:p>
        </w:tc>
        <w:tc>
          <w:tcPr>
            <w:tcW w:w="343" w:type="pct"/>
            <w:vAlign w:val="center"/>
          </w:tcPr>
          <w:p>
            <w:pPr>
              <w:jc w:val="center"/>
              <w:rPr>
                <w:color w:val="auto"/>
                <w:sz w:val="21"/>
                <w:szCs w:val="21"/>
              </w:rPr>
            </w:pPr>
            <w:r>
              <w:rPr>
                <w:rFonts w:hint="eastAsia"/>
                <w:color w:val="auto"/>
                <w:sz w:val="21"/>
                <w:szCs w:val="21"/>
              </w:rPr>
              <w:t>0</w:t>
            </w:r>
          </w:p>
        </w:tc>
        <w:tc>
          <w:tcPr>
            <w:tcW w:w="351" w:type="pct"/>
            <w:vAlign w:val="center"/>
          </w:tcPr>
          <w:p>
            <w:pPr>
              <w:jc w:val="center"/>
              <w:rPr>
                <w:color w:val="auto"/>
                <w:sz w:val="21"/>
                <w:szCs w:val="21"/>
              </w:rPr>
            </w:pPr>
            <w:r>
              <w:rPr>
                <w:rFonts w:hint="eastAsia"/>
                <w:color w:val="auto"/>
                <w:sz w:val="21"/>
                <w:szCs w:val="21"/>
              </w:rPr>
              <w:t>/</w:t>
            </w:r>
          </w:p>
        </w:tc>
        <w:tc>
          <w:tcPr>
            <w:tcW w:w="449" w:type="pct"/>
            <w:vAlign w:val="center"/>
          </w:tcPr>
          <w:p>
            <w:pPr>
              <w:jc w:val="center"/>
              <w:rPr>
                <w:color w:val="auto"/>
                <w:sz w:val="21"/>
                <w:szCs w:val="21"/>
              </w:rPr>
            </w:pPr>
            <w:r>
              <w:rPr>
                <w:rFonts w:hint="eastAsia"/>
                <w:color w:val="auto"/>
                <w:sz w:val="21"/>
                <w:szCs w:val="21"/>
              </w:rPr>
              <w:t>0</w:t>
            </w:r>
          </w:p>
        </w:tc>
        <w:tc>
          <w:tcPr>
            <w:tcW w:w="445" w:type="pct"/>
            <w:vAlign w:val="center"/>
          </w:tcPr>
          <w:p>
            <w:pPr>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ign w:val="center"/>
          </w:tcPr>
          <w:p>
            <w:pPr>
              <w:jc w:val="center"/>
              <w:rPr>
                <w:color w:val="auto"/>
                <w:sz w:val="21"/>
                <w:szCs w:val="21"/>
              </w:rPr>
            </w:pPr>
            <w:r>
              <w:rPr>
                <w:rFonts w:hint="eastAsia"/>
                <w:color w:val="auto"/>
                <w:sz w:val="21"/>
                <w:szCs w:val="21"/>
              </w:rPr>
              <w:t>④</w:t>
            </w:r>
          </w:p>
        </w:tc>
        <w:tc>
          <w:tcPr>
            <w:tcW w:w="756" w:type="pct"/>
            <w:vAlign w:val="center"/>
          </w:tcPr>
          <w:p>
            <w:pPr>
              <w:spacing w:line="240" w:lineRule="exact"/>
              <w:jc w:val="center"/>
              <w:rPr>
                <w:color w:val="auto"/>
                <w:sz w:val="21"/>
                <w:szCs w:val="21"/>
              </w:rPr>
            </w:pPr>
            <w:r>
              <w:rPr>
                <w:rFonts w:hint="eastAsia"/>
                <w:color w:val="auto"/>
                <w:sz w:val="21"/>
                <w:szCs w:val="21"/>
              </w:rPr>
              <w:t>工业园区管网区</w:t>
            </w:r>
          </w:p>
        </w:tc>
        <w:tc>
          <w:tcPr>
            <w:tcW w:w="433" w:type="pct"/>
            <w:noWrap/>
            <w:vAlign w:val="center"/>
          </w:tcPr>
          <w:p>
            <w:pPr>
              <w:jc w:val="center"/>
              <w:rPr>
                <w:color w:val="auto"/>
                <w:sz w:val="21"/>
                <w:szCs w:val="21"/>
              </w:rPr>
            </w:pPr>
            <w:r>
              <w:rPr>
                <w:rFonts w:hint="eastAsia"/>
                <w:color w:val="auto"/>
                <w:sz w:val="21"/>
                <w:szCs w:val="21"/>
              </w:rPr>
              <w:t>1</w:t>
            </w:r>
            <w:r>
              <w:rPr>
                <w:color w:val="auto"/>
                <w:sz w:val="21"/>
                <w:szCs w:val="21"/>
              </w:rPr>
              <w:t>.93</w:t>
            </w:r>
          </w:p>
        </w:tc>
        <w:tc>
          <w:tcPr>
            <w:tcW w:w="398" w:type="pct"/>
            <w:noWrap/>
            <w:vAlign w:val="center"/>
          </w:tcPr>
          <w:p>
            <w:pPr>
              <w:jc w:val="center"/>
              <w:rPr>
                <w:color w:val="auto"/>
                <w:sz w:val="21"/>
                <w:szCs w:val="21"/>
              </w:rPr>
            </w:pPr>
            <w:r>
              <w:rPr>
                <w:rFonts w:hint="eastAsia"/>
                <w:color w:val="auto"/>
                <w:sz w:val="21"/>
                <w:szCs w:val="21"/>
              </w:rPr>
              <w:t>1</w:t>
            </w:r>
            <w:r>
              <w:rPr>
                <w:color w:val="auto"/>
                <w:sz w:val="21"/>
                <w:szCs w:val="21"/>
              </w:rPr>
              <w:t>.15</w:t>
            </w:r>
          </w:p>
        </w:tc>
        <w:tc>
          <w:tcPr>
            <w:tcW w:w="398" w:type="pct"/>
            <w:noWrap/>
            <w:vAlign w:val="center"/>
          </w:tcPr>
          <w:p>
            <w:pPr>
              <w:jc w:val="center"/>
              <w:rPr>
                <w:color w:val="auto"/>
                <w:sz w:val="21"/>
                <w:szCs w:val="21"/>
              </w:rPr>
            </w:pPr>
            <w:r>
              <w:rPr>
                <w:rFonts w:hint="eastAsia"/>
                <w:color w:val="auto"/>
                <w:sz w:val="21"/>
                <w:szCs w:val="21"/>
              </w:rPr>
              <w:t>0</w:t>
            </w:r>
          </w:p>
        </w:tc>
        <w:tc>
          <w:tcPr>
            <w:tcW w:w="417" w:type="pct"/>
            <w:noWrap/>
            <w:vAlign w:val="center"/>
          </w:tcPr>
          <w:p>
            <w:pPr>
              <w:jc w:val="center"/>
              <w:rPr>
                <w:color w:val="auto"/>
                <w:sz w:val="21"/>
                <w:szCs w:val="21"/>
              </w:rPr>
            </w:pPr>
            <w:r>
              <w:rPr>
                <w:rFonts w:hint="eastAsia"/>
                <w:color w:val="auto"/>
                <w:sz w:val="21"/>
                <w:szCs w:val="21"/>
              </w:rPr>
              <w:t>/</w:t>
            </w:r>
          </w:p>
        </w:tc>
        <w:tc>
          <w:tcPr>
            <w:tcW w:w="398" w:type="pct"/>
            <w:noWrap/>
            <w:vAlign w:val="center"/>
          </w:tcPr>
          <w:p>
            <w:pPr>
              <w:jc w:val="center"/>
              <w:rPr>
                <w:color w:val="auto"/>
                <w:sz w:val="21"/>
                <w:szCs w:val="21"/>
              </w:rPr>
            </w:pPr>
            <w:r>
              <w:rPr>
                <w:rFonts w:hint="eastAsia"/>
                <w:color w:val="auto"/>
                <w:sz w:val="21"/>
                <w:szCs w:val="21"/>
              </w:rPr>
              <w:t>0</w:t>
            </w:r>
            <w:r>
              <w:rPr>
                <w:color w:val="auto"/>
                <w:sz w:val="21"/>
                <w:szCs w:val="21"/>
              </w:rPr>
              <w:t>.78</w:t>
            </w:r>
          </w:p>
        </w:tc>
        <w:tc>
          <w:tcPr>
            <w:tcW w:w="341" w:type="pct"/>
            <w:noWrap/>
            <w:vAlign w:val="center"/>
          </w:tcPr>
          <w:p>
            <w:pPr>
              <w:jc w:val="center"/>
              <w:rPr>
                <w:color w:val="auto"/>
                <w:sz w:val="21"/>
                <w:szCs w:val="21"/>
              </w:rPr>
            </w:pPr>
            <w:r>
              <w:rPr>
                <w:rFonts w:hint="eastAsia"/>
                <w:color w:val="auto"/>
                <w:sz w:val="21"/>
                <w:szCs w:val="21"/>
              </w:rPr>
              <w:t>②③</w:t>
            </w:r>
          </w:p>
        </w:tc>
        <w:tc>
          <w:tcPr>
            <w:tcW w:w="343" w:type="pct"/>
            <w:vAlign w:val="center"/>
          </w:tcPr>
          <w:p>
            <w:pPr>
              <w:jc w:val="center"/>
              <w:rPr>
                <w:color w:val="auto"/>
                <w:sz w:val="21"/>
                <w:szCs w:val="21"/>
              </w:rPr>
            </w:pPr>
            <w:r>
              <w:rPr>
                <w:rFonts w:hint="eastAsia"/>
                <w:color w:val="auto"/>
                <w:sz w:val="21"/>
                <w:szCs w:val="21"/>
              </w:rPr>
              <w:t>0</w:t>
            </w:r>
          </w:p>
        </w:tc>
        <w:tc>
          <w:tcPr>
            <w:tcW w:w="351" w:type="pct"/>
            <w:vAlign w:val="center"/>
          </w:tcPr>
          <w:p>
            <w:pPr>
              <w:jc w:val="center"/>
              <w:rPr>
                <w:color w:val="auto"/>
                <w:sz w:val="21"/>
                <w:szCs w:val="21"/>
              </w:rPr>
            </w:pPr>
            <w:r>
              <w:rPr>
                <w:rFonts w:hint="eastAsia"/>
                <w:color w:val="auto"/>
                <w:sz w:val="21"/>
                <w:szCs w:val="21"/>
              </w:rPr>
              <w:t>/</w:t>
            </w:r>
          </w:p>
        </w:tc>
        <w:tc>
          <w:tcPr>
            <w:tcW w:w="449" w:type="pct"/>
            <w:vAlign w:val="center"/>
          </w:tcPr>
          <w:p>
            <w:pPr>
              <w:jc w:val="center"/>
              <w:rPr>
                <w:color w:val="auto"/>
                <w:sz w:val="21"/>
                <w:szCs w:val="21"/>
              </w:rPr>
            </w:pPr>
            <w:r>
              <w:rPr>
                <w:rFonts w:hint="eastAsia"/>
                <w:color w:val="auto"/>
                <w:sz w:val="21"/>
                <w:szCs w:val="21"/>
              </w:rPr>
              <w:t>0</w:t>
            </w:r>
          </w:p>
        </w:tc>
        <w:tc>
          <w:tcPr>
            <w:tcW w:w="445" w:type="pct"/>
            <w:vAlign w:val="center"/>
          </w:tcPr>
          <w:p>
            <w:pPr>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pct"/>
            <w:gridSpan w:val="2"/>
            <w:noWrap/>
            <w:vAlign w:val="center"/>
          </w:tcPr>
          <w:p>
            <w:pPr>
              <w:jc w:val="center"/>
              <w:rPr>
                <w:b/>
                <w:bCs/>
                <w:color w:val="auto"/>
                <w:sz w:val="21"/>
                <w:szCs w:val="21"/>
              </w:rPr>
            </w:pPr>
            <w:r>
              <w:rPr>
                <w:rFonts w:hint="eastAsia"/>
                <w:b/>
                <w:bCs/>
                <w:color w:val="auto"/>
                <w:sz w:val="21"/>
                <w:szCs w:val="21"/>
              </w:rPr>
              <w:t>合计</w:t>
            </w:r>
          </w:p>
        </w:tc>
        <w:tc>
          <w:tcPr>
            <w:tcW w:w="433" w:type="pct"/>
            <w:noWrap/>
            <w:vAlign w:val="center"/>
          </w:tcPr>
          <w:p>
            <w:pPr>
              <w:jc w:val="center"/>
              <w:rPr>
                <w:b/>
                <w:bCs/>
                <w:color w:val="auto"/>
                <w:sz w:val="21"/>
                <w:szCs w:val="21"/>
              </w:rPr>
            </w:pPr>
            <w:r>
              <w:rPr>
                <w:b/>
                <w:bCs/>
                <w:color w:val="auto"/>
                <w:sz w:val="21"/>
                <w:szCs w:val="21"/>
              </w:rPr>
              <w:t>2.25</w:t>
            </w:r>
          </w:p>
        </w:tc>
        <w:tc>
          <w:tcPr>
            <w:tcW w:w="398" w:type="pct"/>
            <w:noWrap/>
            <w:vAlign w:val="center"/>
          </w:tcPr>
          <w:p>
            <w:pPr>
              <w:jc w:val="center"/>
              <w:rPr>
                <w:b/>
                <w:bCs/>
                <w:color w:val="auto"/>
                <w:sz w:val="21"/>
                <w:szCs w:val="21"/>
              </w:rPr>
            </w:pPr>
            <w:r>
              <w:rPr>
                <w:b/>
                <w:bCs/>
                <w:color w:val="auto"/>
                <w:sz w:val="21"/>
                <w:szCs w:val="21"/>
              </w:rPr>
              <w:t>2.25</w:t>
            </w:r>
          </w:p>
        </w:tc>
        <w:tc>
          <w:tcPr>
            <w:tcW w:w="398" w:type="pct"/>
            <w:noWrap/>
            <w:vAlign w:val="center"/>
          </w:tcPr>
          <w:p>
            <w:pPr>
              <w:jc w:val="center"/>
              <w:rPr>
                <w:b/>
                <w:bCs/>
                <w:color w:val="auto"/>
                <w:sz w:val="21"/>
                <w:szCs w:val="21"/>
              </w:rPr>
            </w:pPr>
            <w:r>
              <w:rPr>
                <w:b/>
                <w:bCs/>
                <w:color w:val="auto"/>
                <w:sz w:val="21"/>
                <w:szCs w:val="21"/>
              </w:rPr>
              <w:t>0.84</w:t>
            </w:r>
          </w:p>
        </w:tc>
        <w:tc>
          <w:tcPr>
            <w:tcW w:w="417" w:type="pct"/>
            <w:noWrap/>
            <w:vAlign w:val="center"/>
          </w:tcPr>
          <w:p>
            <w:pPr>
              <w:jc w:val="center"/>
              <w:rPr>
                <w:b/>
                <w:bCs/>
                <w:color w:val="auto"/>
                <w:sz w:val="21"/>
                <w:szCs w:val="21"/>
              </w:rPr>
            </w:pPr>
            <w:r>
              <w:rPr>
                <w:rFonts w:hint="eastAsia"/>
                <w:b/>
                <w:bCs/>
                <w:color w:val="auto"/>
                <w:sz w:val="21"/>
                <w:szCs w:val="21"/>
              </w:rPr>
              <w:t>/</w:t>
            </w:r>
          </w:p>
        </w:tc>
        <w:tc>
          <w:tcPr>
            <w:tcW w:w="398" w:type="pct"/>
            <w:noWrap/>
            <w:vAlign w:val="center"/>
          </w:tcPr>
          <w:p>
            <w:pPr>
              <w:jc w:val="center"/>
              <w:rPr>
                <w:b/>
                <w:bCs/>
                <w:color w:val="auto"/>
                <w:sz w:val="21"/>
                <w:szCs w:val="21"/>
              </w:rPr>
            </w:pPr>
            <w:r>
              <w:rPr>
                <w:b/>
                <w:bCs/>
                <w:color w:val="auto"/>
                <w:sz w:val="21"/>
                <w:szCs w:val="21"/>
              </w:rPr>
              <w:t>0.84</w:t>
            </w:r>
          </w:p>
        </w:tc>
        <w:tc>
          <w:tcPr>
            <w:tcW w:w="341" w:type="pct"/>
            <w:noWrap/>
            <w:vAlign w:val="center"/>
          </w:tcPr>
          <w:p>
            <w:pPr>
              <w:jc w:val="center"/>
              <w:rPr>
                <w:b/>
                <w:bCs/>
                <w:color w:val="auto"/>
                <w:sz w:val="21"/>
                <w:szCs w:val="21"/>
              </w:rPr>
            </w:pPr>
            <w:r>
              <w:rPr>
                <w:rFonts w:hint="eastAsia"/>
                <w:b/>
                <w:bCs/>
                <w:color w:val="auto"/>
                <w:sz w:val="21"/>
                <w:szCs w:val="21"/>
              </w:rPr>
              <w:t>/</w:t>
            </w:r>
          </w:p>
        </w:tc>
        <w:tc>
          <w:tcPr>
            <w:tcW w:w="343" w:type="pct"/>
            <w:vAlign w:val="center"/>
          </w:tcPr>
          <w:p>
            <w:pPr>
              <w:jc w:val="center"/>
              <w:rPr>
                <w:b/>
                <w:bCs/>
                <w:color w:val="auto"/>
                <w:sz w:val="21"/>
                <w:szCs w:val="21"/>
              </w:rPr>
            </w:pPr>
            <w:r>
              <w:rPr>
                <w:rFonts w:hint="eastAsia"/>
                <w:b/>
                <w:bCs/>
                <w:color w:val="auto"/>
                <w:sz w:val="21"/>
                <w:szCs w:val="21"/>
              </w:rPr>
              <w:t>0</w:t>
            </w:r>
          </w:p>
        </w:tc>
        <w:tc>
          <w:tcPr>
            <w:tcW w:w="351" w:type="pct"/>
            <w:vAlign w:val="center"/>
          </w:tcPr>
          <w:p>
            <w:pPr>
              <w:jc w:val="center"/>
              <w:rPr>
                <w:b/>
                <w:bCs/>
                <w:color w:val="auto"/>
                <w:sz w:val="21"/>
                <w:szCs w:val="21"/>
              </w:rPr>
            </w:pPr>
            <w:r>
              <w:rPr>
                <w:rFonts w:hint="eastAsia"/>
                <w:b/>
                <w:bCs/>
                <w:color w:val="auto"/>
                <w:sz w:val="21"/>
                <w:szCs w:val="21"/>
              </w:rPr>
              <w:t>/</w:t>
            </w:r>
          </w:p>
        </w:tc>
        <w:tc>
          <w:tcPr>
            <w:tcW w:w="449" w:type="pct"/>
            <w:vAlign w:val="center"/>
          </w:tcPr>
          <w:p>
            <w:pPr>
              <w:jc w:val="center"/>
              <w:rPr>
                <w:b/>
                <w:bCs/>
                <w:color w:val="auto"/>
                <w:sz w:val="21"/>
                <w:szCs w:val="21"/>
              </w:rPr>
            </w:pPr>
            <w:r>
              <w:rPr>
                <w:rFonts w:hint="eastAsia"/>
                <w:b/>
                <w:bCs/>
                <w:color w:val="auto"/>
                <w:sz w:val="21"/>
                <w:szCs w:val="21"/>
              </w:rPr>
              <w:t>0</w:t>
            </w:r>
          </w:p>
        </w:tc>
        <w:tc>
          <w:tcPr>
            <w:tcW w:w="445" w:type="pct"/>
            <w:vAlign w:val="center"/>
          </w:tcPr>
          <w:p>
            <w:pPr>
              <w:jc w:val="center"/>
              <w:rPr>
                <w:b/>
                <w:bCs/>
                <w:color w:val="auto"/>
                <w:sz w:val="21"/>
                <w:szCs w:val="21"/>
              </w:rPr>
            </w:pPr>
            <w:r>
              <w:rPr>
                <w:rFonts w:hint="eastAsia"/>
                <w:b/>
                <w:bCs/>
                <w:color w:val="auto"/>
                <w:sz w:val="21"/>
                <w:szCs w:val="21"/>
              </w:rPr>
              <w:t>/</w:t>
            </w:r>
          </w:p>
        </w:tc>
      </w:tr>
    </w:tbl>
    <w:p>
      <w:pPr>
        <w:spacing w:line="360" w:lineRule="auto"/>
        <w:contextualSpacing/>
        <w:rPr>
          <w:color w:val="auto"/>
          <w:sz w:val="24"/>
        </w:rPr>
      </w:pPr>
      <w:r>
        <w:rPr>
          <w:color w:val="auto"/>
        </w:rPr>
        <w:drawing>
          <wp:inline distT="0" distB="0" distL="0" distR="0">
            <wp:extent cx="5274310" cy="3181350"/>
            <wp:effectExtent l="0" t="0" r="2540" b="0"/>
            <wp:docPr id="1454912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12175"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181350"/>
                    </a:xfrm>
                    <a:prstGeom prst="rect">
                      <a:avLst/>
                    </a:prstGeom>
                  </pic:spPr>
                </pic:pic>
              </a:graphicData>
            </a:graphic>
          </wp:inline>
        </w:drawing>
      </w:r>
    </w:p>
    <w:p>
      <w:pPr>
        <w:widowControl/>
        <w:contextualSpacing/>
        <w:jc w:val="center"/>
        <w:textAlignment w:val="bottom"/>
        <w:rPr>
          <w:b/>
          <w:color w:val="auto"/>
          <w:sz w:val="21"/>
          <w:szCs w:val="21"/>
        </w:rPr>
      </w:pPr>
      <w:bookmarkStart w:id="75" w:name="_Toc521945607"/>
      <w:bookmarkStart w:id="76" w:name="_Toc522647711"/>
      <w:bookmarkStart w:id="77" w:name="_Toc486320419"/>
      <w:r>
        <w:rPr>
          <w:b/>
          <w:color w:val="auto"/>
          <w:sz w:val="21"/>
          <w:szCs w:val="21"/>
        </w:rPr>
        <w:t xml:space="preserve">图2.4-1土石方平衡流向图    </w:t>
      </w:r>
      <w:r>
        <w:rPr>
          <w:rFonts w:hint="eastAsia"/>
          <w:b/>
          <w:color w:val="auto"/>
          <w:sz w:val="21"/>
          <w:szCs w:val="21"/>
        </w:rPr>
        <w:t>单位：万m</w:t>
      </w:r>
      <w:r>
        <w:rPr>
          <w:b/>
          <w:color w:val="auto"/>
          <w:sz w:val="21"/>
          <w:szCs w:val="21"/>
          <w:vertAlign w:val="superscript"/>
        </w:rPr>
        <w:t>3</w:t>
      </w:r>
    </w:p>
    <w:bookmarkEnd w:id="75"/>
    <w:bookmarkEnd w:id="76"/>
    <w:bookmarkEnd w:id="77"/>
    <w:p>
      <w:pPr>
        <w:spacing w:line="360" w:lineRule="auto"/>
        <w:contextualSpacing/>
        <w:outlineLvl w:val="1"/>
        <w:rPr>
          <w:b/>
          <w:bCs/>
          <w:color w:val="auto"/>
          <w:sz w:val="30"/>
          <w:szCs w:val="30"/>
        </w:rPr>
      </w:pPr>
      <w:bookmarkStart w:id="78" w:name="_Toc522647713"/>
      <w:bookmarkStart w:id="79" w:name="_Toc521945609"/>
      <w:bookmarkStart w:id="80" w:name="_Toc145530051"/>
      <w:bookmarkStart w:id="81" w:name="_Toc486320420"/>
      <w:r>
        <w:rPr>
          <w:b/>
          <w:bCs/>
          <w:color w:val="auto"/>
          <w:sz w:val="30"/>
          <w:szCs w:val="30"/>
        </w:rPr>
        <w:t>2.5</w:t>
      </w:r>
      <w:bookmarkEnd w:id="78"/>
      <w:bookmarkEnd w:id="79"/>
      <w:r>
        <w:rPr>
          <w:b/>
          <w:bCs/>
          <w:color w:val="auto"/>
          <w:sz w:val="30"/>
          <w:szCs w:val="30"/>
        </w:rPr>
        <w:t>拆迁(移民)安置与专项设施改(迁)建</w:t>
      </w:r>
      <w:bookmarkEnd w:id="80"/>
    </w:p>
    <w:p>
      <w:pPr>
        <w:spacing w:line="360" w:lineRule="auto"/>
        <w:ind w:firstLine="480" w:firstLineChars="200"/>
        <w:contextualSpacing/>
        <w:rPr>
          <w:color w:val="auto"/>
          <w:sz w:val="24"/>
        </w:rPr>
      </w:pPr>
      <w:r>
        <w:rPr>
          <w:color w:val="auto"/>
          <w:sz w:val="24"/>
        </w:rPr>
        <w:t>本工程不涉及拆迁（移民）安置与专项设施改（迁）建。</w:t>
      </w:r>
    </w:p>
    <w:p>
      <w:pPr>
        <w:spacing w:line="360" w:lineRule="auto"/>
        <w:contextualSpacing/>
        <w:outlineLvl w:val="1"/>
        <w:rPr>
          <w:b/>
          <w:bCs/>
          <w:color w:val="auto"/>
          <w:sz w:val="30"/>
          <w:szCs w:val="30"/>
        </w:rPr>
      </w:pPr>
      <w:bookmarkStart w:id="82" w:name="_Toc145530052"/>
      <w:r>
        <w:rPr>
          <w:b/>
          <w:bCs/>
          <w:color w:val="auto"/>
          <w:sz w:val="30"/>
          <w:szCs w:val="30"/>
        </w:rPr>
        <w:t>2.6施工进度</w:t>
      </w:r>
      <w:bookmarkEnd w:id="82"/>
    </w:p>
    <w:p>
      <w:pPr>
        <w:spacing w:line="360" w:lineRule="auto"/>
        <w:ind w:firstLine="480" w:firstLineChars="200"/>
        <w:contextualSpacing/>
        <w:rPr>
          <w:color w:val="auto"/>
          <w:sz w:val="24"/>
        </w:rPr>
      </w:pPr>
      <w:r>
        <w:rPr>
          <w:color w:val="auto"/>
          <w:sz w:val="24"/>
        </w:rPr>
        <w:t>建筑工程工期为2022年5月至2023年12月，总工期20个月（含施工准备期）。工程实施进度见表2.6-1。</w:t>
      </w:r>
    </w:p>
    <w:p>
      <w:pPr>
        <w:pStyle w:val="95"/>
        <w:jc w:val="center"/>
        <w:rPr>
          <w:rFonts w:ascii="Times New Roman" w:eastAsia="仿宋_GB2312" w:cs="Times New Roman"/>
          <w:b/>
          <w:bCs/>
          <w:color w:val="auto"/>
          <w:kern w:val="2"/>
          <w:sz w:val="21"/>
          <w:szCs w:val="21"/>
        </w:rPr>
      </w:pPr>
      <w:r>
        <w:rPr>
          <w:rFonts w:ascii="Times New Roman" w:eastAsia="仿宋_GB2312" w:cs="Times New Roman"/>
          <w:b/>
          <w:bCs/>
          <w:color w:val="auto"/>
          <w:kern w:val="2"/>
          <w:sz w:val="21"/>
          <w:szCs w:val="21"/>
        </w:rPr>
        <w:t>表2.6-1   工程主体工程施工进度表</w:t>
      </w:r>
    </w:p>
    <w:tbl>
      <w:tblPr>
        <w:tblStyle w:val="25"/>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76"/>
        <w:gridCol w:w="643"/>
        <w:gridCol w:w="643"/>
        <w:gridCol w:w="643"/>
        <w:gridCol w:w="767"/>
        <w:gridCol w:w="567"/>
        <w:gridCol w:w="598"/>
        <w:gridCol w:w="643"/>
        <w:gridCol w:w="643"/>
        <w:gridCol w:w="643"/>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Merge w:val="restart"/>
            <w:vAlign w:val="center"/>
          </w:tcPr>
          <w:p>
            <w:pPr>
              <w:adjustRightInd w:val="0"/>
              <w:snapToGrid w:val="0"/>
              <w:jc w:val="center"/>
              <w:rPr>
                <w:color w:val="auto"/>
                <w:sz w:val="21"/>
                <w:szCs w:val="21"/>
              </w:rPr>
            </w:pPr>
            <w:r>
              <w:rPr>
                <w:color w:val="auto"/>
                <w:sz w:val="21"/>
                <w:szCs w:val="21"/>
              </w:rPr>
              <w:t>序号</w:t>
            </w:r>
          </w:p>
        </w:tc>
        <w:tc>
          <w:tcPr>
            <w:tcW w:w="1578" w:type="dxa"/>
            <w:vMerge w:val="restart"/>
            <w:vAlign w:val="center"/>
          </w:tcPr>
          <w:p>
            <w:pPr>
              <w:adjustRightInd w:val="0"/>
              <w:snapToGrid w:val="0"/>
              <w:jc w:val="center"/>
              <w:rPr>
                <w:color w:val="auto"/>
                <w:sz w:val="21"/>
                <w:szCs w:val="21"/>
              </w:rPr>
            </w:pPr>
            <w:r>
              <w:rPr>
                <w:color w:val="auto"/>
                <w:sz w:val="21"/>
                <w:szCs w:val="21"/>
              </w:rPr>
              <w:t>项目实施阶段</w:t>
            </w:r>
          </w:p>
        </w:tc>
        <w:tc>
          <w:tcPr>
            <w:tcW w:w="2696" w:type="dxa"/>
            <w:gridSpan w:val="4"/>
            <w:vAlign w:val="center"/>
          </w:tcPr>
          <w:p>
            <w:pPr>
              <w:jc w:val="center"/>
              <w:rPr>
                <w:color w:val="auto"/>
                <w:sz w:val="21"/>
                <w:szCs w:val="21"/>
              </w:rPr>
            </w:pPr>
            <w:r>
              <w:rPr>
                <w:rFonts w:hint="eastAsia"/>
                <w:color w:val="auto"/>
                <w:sz w:val="21"/>
                <w:szCs w:val="21"/>
              </w:rPr>
              <w:t>2</w:t>
            </w:r>
            <w:r>
              <w:rPr>
                <w:color w:val="auto"/>
                <w:sz w:val="21"/>
                <w:szCs w:val="21"/>
              </w:rPr>
              <w:t>022</w:t>
            </w:r>
            <w:r>
              <w:rPr>
                <w:rFonts w:hint="eastAsia"/>
                <w:color w:val="auto"/>
                <w:sz w:val="21"/>
                <w:szCs w:val="21"/>
              </w:rPr>
              <w:t>年</w:t>
            </w:r>
          </w:p>
        </w:tc>
        <w:tc>
          <w:tcPr>
            <w:tcW w:w="3825" w:type="dxa"/>
            <w:gridSpan w:val="6"/>
            <w:vAlign w:val="center"/>
          </w:tcPr>
          <w:p>
            <w:pPr>
              <w:jc w:val="center"/>
              <w:rPr>
                <w:color w:val="auto"/>
                <w:sz w:val="21"/>
                <w:szCs w:val="21"/>
              </w:rPr>
            </w:pPr>
            <w:r>
              <w:rPr>
                <w:rFonts w:hint="eastAsia"/>
                <w:color w:val="auto"/>
                <w:sz w:val="21"/>
                <w:szCs w:val="21"/>
              </w:rPr>
              <w:t>2</w:t>
            </w:r>
            <w:r>
              <w:rPr>
                <w:color w:val="auto"/>
                <w:sz w:val="21"/>
                <w:szCs w:val="21"/>
              </w:rPr>
              <w:t>023</w:t>
            </w:r>
            <w:r>
              <w:rPr>
                <w:rFonts w:hint="eastAsia"/>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Merge w:val="continue"/>
            <w:vAlign w:val="center"/>
          </w:tcPr>
          <w:p>
            <w:pPr>
              <w:jc w:val="center"/>
              <w:rPr>
                <w:color w:val="auto"/>
                <w:sz w:val="20"/>
                <w:szCs w:val="20"/>
              </w:rPr>
            </w:pPr>
          </w:p>
        </w:tc>
        <w:tc>
          <w:tcPr>
            <w:tcW w:w="1578" w:type="dxa"/>
            <w:vMerge w:val="continue"/>
            <w:vAlign w:val="center"/>
          </w:tcPr>
          <w:p>
            <w:pPr>
              <w:jc w:val="center"/>
              <w:rPr>
                <w:color w:val="auto"/>
                <w:sz w:val="20"/>
                <w:szCs w:val="20"/>
              </w:rPr>
            </w:pPr>
          </w:p>
        </w:tc>
        <w:tc>
          <w:tcPr>
            <w:tcW w:w="643" w:type="dxa"/>
            <w:vAlign w:val="center"/>
          </w:tcPr>
          <w:p>
            <w:pPr>
              <w:jc w:val="center"/>
              <w:rPr>
                <w:rFonts w:eastAsia="宋体"/>
                <w:color w:val="auto"/>
                <w:sz w:val="20"/>
                <w:szCs w:val="20"/>
              </w:rPr>
            </w:pPr>
            <w:r>
              <w:rPr>
                <w:rFonts w:hint="eastAsia" w:eastAsia="宋体"/>
                <w:color w:val="auto"/>
                <w:sz w:val="20"/>
                <w:szCs w:val="20"/>
              </w:rPr>
              <w:t>5</w:t>
            </w:r>
            <w:r>
              <w:rPr>
                <w:rFonts w:eastAsia="宋体"/>
                <w:color w:val="auto"/>
                <w:sz w:val="20"/>
                <w:szCs w:val="20"/>
              </w:rPr>
              <w:t>~6</w:t>
            </w:r>
          </w:p>
        </w:tc>
        <w:tc>
          <w:tcPr>
            <w:tcW w:w="643" w:type="dxa"/>
            <w:vAlign w:val="center"/>
          </w:tcPr>
          <w:p>
            <w:pPr>
              <w:jc w:val="center"/>
              <w:rPr>
                <w:rFonts w:eastAsia="宋体"/>
                <w:color w:val="auto"/>
                <w:sz w:val="20"/>
                <w:szCs w:val="20"/>
              </w:rPr>
            </w:pPr>
            <w:r>
              <w:rPr>
                <w:rFonts w:hint="eastAsia" w:eastAsia="宋体"/>
                <w:color w:val="auto"/>
                <w:sz w:val="20"/>
                <w:szCs w:val="20"/>
              </w:rPr>
              <w:t>7</w:t>
            </w:r>
            <w:r>
              <w:rPr>
                <w:rFonts w:eastAsia="宋体"/>
                <w:color w:val="auto"/>
                <w:sz w:val="20"/>
                <w:szCs w:val="20"/>
              </w:rPr>
              <w:t>~8</w:t>
            </w:r>
          </w:p>
        </w:tc>
        <w:tc>
          <w:tcPr>
            <w:tcW w:w="643" w:type="dxa"/>
            <w:vAlign w:val="center"/>
          </w:tcPr>
          <w:p>
            <w:pPr>
              <w:jc w:val="center"/>
              <w:rPr>
                <w:rFonts w:eastAsia="宋体"/>
                <w:color w:val="auto"/>
                <w:sz w:val="20"/>
                <w:szCs w:val="20"/>
              </w:rPr>
            </w:pPr>
            <w:r>
              <w:rPr>
                <w:rFonts w:hint="eastAsia" w:eastAsia="宋体"/>
                <w:color w:val="auto"/>
                <w:sz w:val="20"/>
                <w:szCs w:val="20"/>
              </w:rPr>
              <w:t>9</w:t>
            </w:r>
            <w:r>
              <w:rPr>
                <w:rFonts w:eastAsia="宋体"/>
                <w:color w:val="auto"/>
                <w:sz w:val="20"/>
                <w:szCs w:val="20"/>
              </w:rPr>
              <w:t>~10</w:t>
            </w:r>
          </w:p>
        </w:tc>
        <w:tc>
          <w:tcPr>
            <w:tcW w:w="764" w:type="dxa"/>
            <w:vAlign w:val="center"/>
          </w:tcPr>
          <w:p>
            <w:pPr>
              <w:jc w:val="center"/>
              <w:rPr>
                <w:rFonts w:eastAsia="宋体"/>
                <w:color w:val="auto"/>
                <w:sz w:val="20"/>
                <w:szCs w:val="20"/>
              </w:rPr>
            </w:pPr>
            <w:r>
              <w:rPr>
                <w:rFonts w:hint="eastAsia" w:eastAsia="宋体"/>
                <w:color w:val="auto"/>
                <w:sz w:val="20"/>
                <w:szCs w:val="20"/>
              </w:rPr>
              <w:t>1</w:t>
            </w:r>
            <w:r>
              <w:rPr>
                <w:rFonts w:eastAsia="宋体"/>
                <w:color w:val="auto"/>
                <w:sz w:val="20"/>
                <w:szCs w:val="20"/>
              </w:rPr>
              <w:t>1~12</w:t>
            </w:r>
          </w:p>
        </w:tc>
        <w:tc>
          <w:tcPr>
            <w:tcW w:w="567" w:type="dxa"/>
            <w:vAlign w:val="center"/>
          </w:tcPr>
          <w:p>
            <w:pPr>
              <w:jc w:val="center"/>
              <w:rPr>
                <w:rFonts w:eastAsia="宋体"/>
                <w:color w:val="auto"/>
                <w:sz w:val="20"/>
                <w:szCs w:val="20"/>
              </w:rPr>
            </w:pPr>
            <w:r>
              <w:rPr>
                <w:rFonts w:hint="eastAsia" w:eastAsia="宋体"/>
                <w:color w:val="auto"/>
                <w:sz w:val="20"/>
                <w:szCs w:val="20"/>
              </w:rPr>
              <w:t>1</w:t>
            </w:r>
            <w:r>
              <w:rPr>
                <w:rFonts w:eastAsia="宋体"/>
                <w:color w:val="auto"/>
                <w:sz w:val="20"/>
                <w:szCs w:val="20"/>
              </w:rPr>
              <w:t>~2</w:t>
            </w:r>
          </w:p>
        </w:tc>
        <w:tc>
          <w:tcPr>
            <w:tcW w:w="598" w:type="dxa"/>
            <w:vAlign w:val="center"/>
          </w:tcPr>
          <w:p>
            <w:pPr>
              <w:jc w:val="center"/>
              <w:rPr>
                <w:rFonts w:eastAsia="宋体"/>
                <w:color w:val="auto"/>
                <w:sz w:val="20"/>
                <w:szCs w:val="20"/>
              </w:rPr>
            </w:pPr>
            <w:r>
              <w:rPr>
                <w:rFonts w:hint="eastAsia" w:eastAsia="宋体"/>
                <w:color w:val="auto"/>
                <w:sz w:val="20"/>
                <w:szCs w:val="20"/>
              </w:rPr>
              <w:t>3~</w:t>
            </w:r>
            <w:r>
              <w:rPr>
                <w:rFonts w:eastAsia="宋体"/>
                <w:color w:val="auto"/>
                <w:sz w:val="20"/>
                <w:szCs w:val="20"/>
              </w:rPr>
              <w:t>4</w:t>
            </w:r>
          </w:p>
        </w:tc>
        <w:tc>
          <w:tcPr>
            <w:tcW w:w="643" w:type="dxa"/>
            <w:vAlign w:val="center"/>
          </w:tcPr>
          <w:p>
            <w:pPr>
              <w:jc w:val="center"/>
              <w:rPr>
                <w:rFonts w:eastAsia="宋体"/>
                <w:color w:val="auto"/>
                <w:sz w:val="20"/>
                <w:szCs w:val="20"/>
              </w:rPr>
            </w:pPr>
            <w:r>
              <w:rPr>
                <w:rFonts w:hint="eastAsia" w:eastAsia="宋体"/>
                <w:color w:val="auto"/>
                <w:sz w:val="20"/>
                <w:szCs w:val="20"/>
              </w:rPr>
              <w:t>5</w:t>
            </w:r>
            <w:r>
              <w:rPr>
                <w:rFonts w:eastAsia="宋体"/>
                <w:color w:val="auto"/>
                <w:sz w:val="20"/>
                <w:szCs w:val="20"/>
              </w:rPr>
              <w:t>~6</w:t>
            </w:r>
          </w:p>
        </w:tc>
        <w:tc>
          <w:tcPr>
            <w:tcW w:w="643" w:type="dxa"/>
            <w:vAlign w:val="center"/>
          </w:tcPr>
          <w:p>
            <w:pPr>
              <w:jc w:val="center"/>
              <w:rPr>
                <w:rFonts w:eastAsia="宋体"/>
                <w:color w:val="auto"/>
                <w:sz w:val="20"/>
                <w:szCs w:val="20"/>
              </w:rPr>
            </w:pPr>
            <w:r>
              <w:rPr>
                <w:rFonts w:hint="eastAsia" w:eastAsia="宋体"/>
                <w:color w:val="auto"/>
                <w:sz w:val="20"/>
                <w:szCs w:val="20"/>
              </w:rPr>
              <w:t>7</w:t>
            </w:r>
            <w:r>
              <w:rPr>
                <w:rFonts w:eastAsia="宋体"/>
                <w:color w:val="auto"/>
                <w:sz w:val="20"/>
                <w:szCs w:val="20"/>
              </w:rPr>
              <w:t>~8</w:t>
            </w:r>
          </w:p>
        </w:tc>
        <w:tc>
          <w:tcPr>
            <w:tcW w:w="643" w:type="dxa"/>
            <w:vAlign w:val="center"/>
          </w:tcPr>
          <w:p>
            <w:pPr>
              <w:jc w:val="center"/>
              <w:rPr>
                <w:rFonts w:eastAsia="宋体"/>
                <w:color w:val="auto"/>
                <w:sz w:val="20"/>
                <w:szCs w:val="20"/>
              </w:rPr>
            </w:pPr>
            <w:r>
              <w:rPr>
                <w:rFonts w:hint="eastAsia" w:eastAsia="宋体"/>
                <w:color w:val="auto"/>
                <w:sz w:val="20"/>
                <w:szCs w:val="20"/>
              </w:rPr>
              <w:t>9</w:t>
            </w:r>
            <w:r>
              <w:rPr>
                <w:rFonts w:eastAsia="宋体"/>
                <w:color w:val="auto"/>
                <w:sz w:val="20"/>
                <w:szCs w:val="20"/>
              </w:rPr>
              <w:t>~10</w:t>
            </w:r>
          </w:p>
        </w:tc>
        <w:tc>
          <w:tcPr>
            <w:tcW w:w="734" w:type="dxa"/>
            <w:vAlign w:val="center"/>
          </w:tcPr>
          <w:p>
            <w:pPr>
              <w:jc w:val="center"/>
              <w:rPr>
                <w:rFonts w:eastAsia="宋体"/>
                <w:color w:val="auto"/>
                <w:sz w:val="20"/>
                <w:szCs w:val="20"/>
              </w:rPr>
            </w:pPr>
            <w:r>
              <w:rPr>
                <w:rFonts w:hint="eastAsia" w:eastAsia="宋体"/>
                <w:color w:val="auto"/>
                <w:sz w:val="20"/>
                <w:szCs w:val="20"/>
              </w:rPr>
              <w:t>1</w:t>
            </w:r>
            <w:r>
              <w:rPr>
                <w:rFonts w:eastAsia="宋体"/>
                <w:color w:val="auto"/>
                <w:sz w:val="20"/>
                <w:szCs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color w:val="auto"/>
                <w:sz w:val="21"/>
                <w:szCs w:val="21"/>
              </w:rPr>
              <w:t>1</w:t>
            </w:r>
          </w:p>
        </w:tc>
        <w:tc>
          <w:tcPr>
            <w:tcW w:w="1578" w:type="dxa"/>
            <w:vAlign w:val="center"/>
          </w:tcPr>
          <w:p>
            <w:pPr>
              <w:adjustRightInd w:val="0"/>
              <w:snapToGrid w:val="0"/>
              <w:jc w:val="center"/>
              <w:rPr>
                <w:color w:val="auto"/>
                <w:sz w:val="21"/>
                <w:szCs w:val="21"/>
              </w:rPr>
            </w:pPr>
            <w:r>
              <w:rPr>
                <w:color w:val="auto"/>
                <w:sz w:val="21"/>
                <w:szCs w:val="21"/>
              </w:rPr>
              <w:t>施工准备</w:t>
            </w: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4384" behindDoc="0" locked="0" layoutInCell="1" allowOverlap="1">
                      <wp:simplePos x="0" y="0"/>
                      <wp:positionH relativeFrom="column">
                        <wp:posOffset>-71120</wp:posOffset>
                      </wp:positionH>
                      <wp:positionV relativeFrom="paragraph">
                        <wp:posOffset>88265</wp:posOffset>
                      </wp:positionV>
                      <wp:extent cx="212090" cy="0"/>
                      <wp:effectExtent l="0" t="19050" r="35560" b="19050"/>
                      <wp:wrapNone/>
                      <wp:docPr id="779661261" name="直接连接符 1"/>
                      <wp:cNvGraphicFramePr/>
                      <a:graphic xmlns:a="http://schemas.openxmlformats.org/drawingml/2006/main">
                        <a:graphicData uri="http://schemas.microsoft.com/office/word/2010/wordprocessingShape">
                          <wps:wsp>
                            <wps:cNvCnPr/>
                            <wps:spPr>
                              <a:xfrm flipV="1">
                                <a:off x="0" y="0"/>
                                <a:ext cx="2120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5.6pt;margin-top:6.95pt;height:0pt;width:16.7pt;z-index:251664384;mso-width-relative:page;mso-height-relative:page;" filled="f" stroked="t" coordsize="21600,21600" o:gfxdata="UEsDBAoAAAAAAIdO4kAAAAAAAAAAAAAAAAAEAAAAZHJzL1BLAwQUAAAACACHTuJArmyFCdUAAAAI&#10;AQAADwAAAGRycy9kb3ducmV2LnhtbE2Py07DMBBF90j8gzVIbFDrJCAeIU6FEOzCoi1ILKfxNAnY&#10;4yh2H/w9g1jA8uoe3TlTLY7eqT1NcQhsIJ9noIjbYAfuDLyun2e3oGJCtugCk4EvirCoT08qLG04&#10;8JL2q9QpGeFYooE+pbHUOrY9eYzzMBJLtw2TxyRx6rSd8CDj3ukiy661x4HlQo8jPfbUfq523kBo&#10;mvc42YsmvNzg+mn74K4+4psx52d5dg8q0TH9wfCjL+pQi9Mm7NhG5QzM8rwQVIrLO1ACFIXkzW/W&#10;daX/P1B/A1BLAwQUAAAACACHTuJAlLMm0QQCAADlAwAADgAAAGRycy9lMm9Eb2MueG1srVPLjtMw&#10;FN0j8Q+W9zRJRdtp1HTETBk2PCrx2LuOk1jyS76epvMT/AASO2bFkj1/w/AZXDtpgWEzCzbO9X0c&#10;33Puzer8oBXZCw/SmooWk5wSYbitpWkr+v7d1ZMzSiAwUzNljajojQB6vn78aNW7UkxtZ1UtPEEQ&#10;A2XvKtqF4MosA94JzWBinTAYbKzXLODVt1ntWY/oWmXTPJ9nvfW185YLAPRuhiAdEf1DAG3TSC42&#10;ll9rYcKA6oViASlBJx3Qdeq2aQQPb5oGRCCqosg0pBMfQXsXz2y9YmXrmeskH1tgD2nhHifNpMFH&#10;T1AbFhi59vIfKC25t2CbMOFWZwORpAiyKPJ72rztmBOJC0oN7iQ6/D9Y/nq/9UTWFV0slvN5MZ0X&#10;lBimcfB3n779+Pjl5/fPeN59vSVFFKt3UGLNpdn68QZu6yPzQ+M1aZR0H3CrkhbIjhyS1DcnqcUh&#10;EI7OaTHNlzgEfgxlA0JEch7CC2E1iUZFlTRRBFay/UsI+CqmHlOi29grqVQapDKkR+yz2WKG0Ay3&#10;s8GtQFM7ZAimpYSpFteeB58gwSpZx/IIBL7dXSpP9gyX5emzxfOLiyGpY7UYvMtZno9LAyy8svXg&#10;LvKjH3sbYVKff+HHpjcMuqEmhaKkWKIMfqK0g5jR2tn6Jmmc/Dj9lDhualyvP++p+vffu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myFCdUAAAAIAQAADwAAAAAAAAABACAAAAAiAAAAZHJzL2Rv&#10;d25yZXYueG1sUEsBAhQAFAAAAAgAh07iQJSzJtEEAgAA5QMAAA4AAAAAAAAAAQAgAAAAJAEAAGRy&#10;cy9lMm9Eb2MueG1sUEsFBgAAAAAGAAYAWQEAAJoFA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4"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color w:val="auto"/>
                <w:sz w:val="21"/>
                <w:szCs w:val="21"/>
              </w:rPr>
              <w:t>2</w:t>
            </w:r>
          </w:p>
        </w:tc>
        <w:tc>
          <w:tcPr>
            <w:tcW w:w="1578" w:type="dxa"/>
            <w:vAlign w:val="center"/>
          </w:tcPr>
          <w:p>
            <w:pPr>
              <w:adjustRightInd w:val="0"/>
              <w:snapToGrid w:val="0"/>
              <w:jc w:val="center"/>
              <w:rPr>
                <w:color w:val="auto"/>
                <w:sz w:val="21"/>
                <w:szCs w:val="21"/>
              </w:rPr>
            </w:pPr>
            <w:r>
              <w:rPr>
                <w:color w:val="auto"/>
                <w:sz w:val="21"/>
                <w:szCs w:val="21"/>
              </w:rPr>
              <w:t>建筑工程</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-230505</wp:posOffset>
                      </wp:positionH>
                      <wp:positionV relativeFrom="paragraph">
                        <wp:posOffset>78105</wp:posOffset>
                      </wp:positionV>
                      <wp:extent cx="2593975" cy="0"/>
                      <wp:effectExtent l="0" t="19050" r="34925" b="19050"/>
                      <wp:wrapNone/>
                      <wp:docPr id="1272390604" name="直接连接符 1"/>
                      <wp:cNvGraphicFramePr/>
                      <a:graphic xmlns:a="http://schemas.openxmlformats.org/drawingml/2006/main">
                        <a:graphicData uri="http://schemas.microsoft.com/office/word/2010/wordprocessingShape">
                          <wps:wsp>
                            <wps:cNvCnPr/>
                            <wps:spPr>
                              <a:xfrm flipV="1">
                                <a:off x="0" y="0"/>
                                <a:ext cx="2593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8.15pt;margin-top:6.15pt;height:0pt;width:204.25pt;z-index:251659264;mso-width-relative:page;mso-height-relative:page;" filled="f" stroked="t" coordsize="21600,21600" o:gfxdata="UEsDBAoAAAAAAIdO4kAAAAAAAAAAAAAAAAAEAAAAZHJzL1BLAwQUAAAACACHTuJAMgeAYdcAAAAJ&#10;AQAADwAAAGRycy9kb3ducmV2LnhtbE2PzU7DMBCE70i8g7VIXFDrNEFtlcapEIJbONCCxHEbu0nA&#10;Xke2+8Pbs4hDOa12ZzT7TbU+OyuOJsTBk4LZNANhqPV6oE7B2/Z5sgQRE5JG68ko+DYR1vX1VYWl&#10;9id6NcdN6gSHUCxRQZ/SWEoZ2944jFM/GmJt74PDxGvopA544nBnZZ5lc+lwIP7Q42gee9N+bQ5O&#10;gW+ajxj0XeNfFrh92j/Y+8/4rtTtzSxbgUjmnC5m+MVndKiZaecPpKOwCibFvGArCzlPNhSLPAex&#10;+zvIupL/G9Q/UEsDBBQAAAAIAIdO4kDzbiyHBgIAAOcDAAAOAAAAZHJzL2Uyb0RvYy54bWytk0tu&#10;2zAQhvcFegeC+1qyE8exYDlo4qabPgz0sacpSiLAFziMZV+iFyjQXbvqsvvcJukxOqRkt003WXRD&#10;kUPOx/l/jhYXO63IVniQ1pR0PMopEYbbSpqmpB/eXz87pwQCMxVT1oiS7gXQi+XTJ4vOFWJiW6sq&#10;4QlCDBSdK2kbgiuyDHgrNIORdcLgZm29ZgGXvskqzzqka5VN8vws66yvnLdcAGB01W/SgegfA7R1&#10;LblYWX6jhQk91QvFAkqCVjqgy1RtXQse3tY1iEBUSVFpSCNegvNNHLPlghWNZ66VfCiBPaaEB5o0&#10;kwYvPaJWLDBy4+U/KC25t2DrMOJWZ72Q5AiqGOcPvHnXMieSFrQa3NF0+H9Y/ma79kRW2AmT2eRk&#10;np/lp5QYpvHl7z//uPv09eftFxzvv38j4+hW56DApCuz9sMK3NpH6bvaa1Ir6T4iLJmB8sgueb0/&#10;ei12gXAMTqbzk/lsSgk/7GU9IqKch/BSWE3ipKRKmmgDK9j2FQS8Fo8ejsSwsddSqfSUypAO4efT&#10;hGbYnzX2Bd6iHWoE01DCVIONz4NPSLBKVjE9gsA3myvlyZZhu5w+n724vOwPtawSfXQ+zfOhbYCF&#10;17bqw+P8EMfaBkyq8y9+LHrFoO1z0lb0FFOUwU/0tnczzja22ieTUxzfPx0cejU22J/rlP37/1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HgGHXAAAACQEAAA8AAAAAAAAAAQAgAAAAIgAAAGRy&#10;cy9kb3ducmV2LnhtbFBLAQIUABQAAAAIAIdO4kDzbiyHBgIAAOcDAAAOAAAAAAAAAAEAIAAAACYB&#10;AABkcnMvZTJvRG9jLnhtbFBLBQYAAAAABgAGAFkBAACeBQ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764"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color w:val="auto"/>
                <w:sz w:val="21"/>
                <w:szCs w:val="21"/>
              </w:rPr>
              <w:t>3</w:t>
            </w:r>
          </w:p>
        </w:tc>
        <w:tc>
          <w:tcPr>
            <w:tcW w:w="1578" w:type="dxa"/>
            <w:vAlign w:val="center"/>
          </w:tcPr>
          <w:p>
            <w:pPr>
              <w:adjustRightInd w:val="0"/>
              <w:snapToGrid w:val="0"/>
              <w:jc w:val="center"/>
              <w:rPr>
                <w:color w:val="auto"/>
                <w:sz w:val="21"/>
                <w:szCs w:val="21"/>
              </w:rPr>
            </w:pPr>
            <w:r>
              <w:rPr>
                <w:rFonts w:hint="eastAsia"/>
                <w:color w:val="auto"/>
                <w:sz w:val="21"/>
                <w:szCs w:val="21"/>
              </w:rPr>
              <w:t>厂区管网</w:t>
            </w:r>
            <w:r>
              <w:rPr>
                <w:color w:val="auto"/>
                <w:sz w:val="21"/>
                <w:szCs w:val="21"/>
              </w:rPr>
              <w:t>工程</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4"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2336" behindDoc="0" locked="0" layoutInCell="1" allowOverlap="1">
                      <wp:simplePos x="0" y="0"/>
                      <wp:positionH relativeFrom="column">
                        <wp:posOffset>-77470</wp:posOffset>
                      </wp:positionH>
                      <wp:positionV relativeFrom="paragraph">
                        <wp:posOffset>104775</wp:posOffset>
                      </wp:positionV>
                      <wp:extent cx="616585" cy="0"/>
                      <wp:effectExtent l="0" t="19050" r="31115" b="19050"/>
                      <wp:wrapNone/>
                      <wp:docPr id="2010068331" name="直接连接符 1"/>
                      <wp:cNvGraphicFramePr/>
                      <a:graphic xmlns:a="http://schemas.openxmlformats.org/drawingml/2006/main">
                        <a:graphicData uri="http://schemas.microsoft.com/office/word/2010/wordprocessingShape">
                          <wps:wsp>
                            <wps:cNvCnPr/>
                            <wps:spPr>
                              <a:xfrm flipV="1">
                                <a:off x="0" y="0"/>
                                <a:ext cx="61658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6.1pt;margin-top:8.25pt;height:0pt;width:48.55pt;z-index:251662336;mso-width-relative:page;mso-height-relative:page;" filled="f" stroked="t" coordsize="21600,21600" o:gfxdata="UEsDBAoAAAAAAIdO4kAAAAAAAAAAAAAAAAAEAAAAZHJzL1BLAwQUAAAACACHTuJAOBg4T9YAAAAI&#10;AQAADwAAAGRycy9kb3ducmV2LnhtbE2Py07DMBBF90j8gzVIbFDrJGpLCXEqhGCXLmhBYjmN3SRg&#10;jyPbffD3DGIBy6t7dOdMtTo7K44mxMGTgnyagTDUej1Qp+B1+zxZgogJSaP1ZBR8mQir+vKiwlL7&#10;E72Y4yZ1gkcolqigT2kspYxtbxzGqR8Ncbf3wWHiGDqpA5543FlZZNlCOhyIL/Q4msfetJ+bg1Pg&#10;m+Y9Bn3T+PUtbp/2D3b2Ed+Uur7Ks3sQyZzTHww/+qwONTvt/IF0FFbBJC8KRrlYzEEwsJzdgdj9&#10;ZllX8v8D9TdQSwMEFAAAAAgAh07iQNZ6TdMDAgAA5gMAAA4AAABkcnMvZTJvRG9jLnhtbK1TS27b&#10;MBDdF+gdCO5rSUntuILloImbbvox0M+epiiJAH/gMJZ9iV6gQHftqsvuc5ukx+iQkt023WTRDTWc&#10;z5t5j6PF+U4rshUepDUVLSY5JcJwW0vTVvTD+6snc0ogMFMzZY2o6F4APV8+frToXSlObGdVLTxB&#10;EANl7yraheDKLAPeCc1gYp0wGGys1yzg1bdZ7VmP6FplJ3k+y3rra+ctFwDoXQ1BOiL6hwDappFc&#10;rCy/1sKEAdULxQJSgk46oMs0bdMIHt42DYhAVEWRaUgnNkF7E89suWBl65nrJB9HYA8Z4R4nzaTB&#10;pkeoFQuMXHv5D5SW3FuwTZhwq7OBSFIEWRT5PW3edcyJxAWlBncUHf4fLH+zXXsi64rG/vlsfnpa&#10;UGKYxpe/+/zj9tPXnzdf8Lz7/o0UUa3eQYlFl2btxxu4tY/Ud43XpFHSfcS1SmIgPbJLWu+PWotd&#10;IByds2I2nU8p4YdQNiBEJOchvBRWk2hUVEkTVWAl276CgF0x9ZAS3cZeSaXSSypDeqQyn55FaIbr&#10;2eBaoKkdUgTTUsJUi3vPg0+QYJWsY3kEAt9uLpUnW4bb8vT52YuLiyGpY7UYvM+meT5uDbDw2taD&#10;u8gPfpxthElz/oUfh14x6IaaFIqSYoky+InSDmJGa2PrfdI4+fH5U+K4qnG//ryn6t+/5/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g4T9YAAAAIAQAADwAAAAAAAAABACAAAAAiAAAAZHJzL2Rv&#10;d25yZXYueG1sUEsBAhQAFAAAAAgAh07iQNZ6TdMDAgAA5gMAAA4AAAAAAAAAAQAgAAAAJQEAAGRy&#10;cy9lMm9Eb2MueG1sUEsFBgAAAAAGAAYAWQEAAJoFA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color w:val="auto"/>
                <w:sz w:val="21"/>
                <w:szCs w:val="21"/>
              </w:rPr>
              <w:t>4</w:t>
            </w:r>
          </w:p>
        </w:tc>
        <w:tc>
          <w:tcPr>
            <w:tcW w:w="1578" w:type="dxa"/>
            <w:vAlign w:val="center"/>
          </w:tcPr>
          <w:p>
            <w:pPr>
              <w:adjustRightInd w:val="0"/>
              <w:snapToGrid w:val="0"/>
              <w:jc w:val="center"/>
              <w:rPr>
                <w:color w:val="auto"/>
                <w:sz w:val="21"/>
                <w:szCs w:val="21"/>
              </w:rPr>
            </w:pPr>
            <w:r>
              <w:rPr>
                <w:rFonts w:hint="eastAsia"/>
                <w:color w:val="auto"/>
                <w:sz w:val="21"/>
                <w:szCs w:val="21"/>
              </w:rPr>
              <w:t>道路工程</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4"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8480" behindDoc="0" locked="0" layoutInCell="1" allowOverlap="1">
                      <wp:simplePos x="0" y="0"/>
                      <wp:positionH relativeFrom="column">
                        <wp:posOffset>-74930</wp:posOffset>
                      </wp:positionH>
                      <wp:positionV relativeFrom="paragraph">
                        <wp:posOffset>86995</wp:posOffset>
                      </wp:positionV>
                      <wp:extent cx="616585" cy="0"/>
                      <wp:effectExtent l="0" t="19050" r="31115" b="19050"/>
                      <wp:wrapNone/>
                      <wp:docPr id="1437916270" name="直接连接符 1"/>
                      <wp:cNvGraphicFramePr/>
                      <a:graphic xmlns:a="http://schemas.openxmlformats.org/drawingml/2006/main">
                        <a:graphicData uri="http://schemas.microsoft.com/office/word/2010/wordprocessingShape">
                          <wps:wsp>
                            <wps:cNvCnPr/>
                            <wps:spPr>
                              <a:xfrm flipV="1">
                                <a:off x="0" y="0"/>
                                <a:ext cx="61658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5.9pt;margin-top:6.85pt;height:0pt;width:48.55pt;z-index:251668480;mso-width-relative:page;mso-height-relative:page;" filled="f" stroked="t" coordsize="21600,21600" o:gfxdata="UEsDBAoAAAAAAIdO4kAAAAAAAAAAAAAAAAAEAAAAZHJzL1BLAwQUAAAACACHTuJAW24XQtYAAAAI&#10;AQAADwAAAGRycy9kb3ducmV2LnhtbE2PzU7DMBCE70i8g7VIXFDrhAKtQpwKIbiFQ1uQOG7jbRKw&#10;11Hs/vD2LOIAx9GMZr4plyfv1IHG2Ac2kE8zUMRNsD23Bl43z5MFqJiQLbrAZOCLIiyr87MSCxuO&#10;vKLDOrVKSjgWaKBLaSi0jk1HHuM0DMTi7cLoMYkcW21HPEq5d/o6y+60x55locOBHjtqPtd7byDU&#10;9Xsc7VUdXua4edo9uJuP+GbM5UWe3YNKdEp/YfjBF3SohGkb9myjcgYmeS7oSYzZHJQEFrczUNtf&#10;ratS/z9QfQNQSwMEFAAAAAgAh07iQL70aHoEAgAA5gMAAA4AAABkcnMvZTJvRG9jLnhtbK1TSY7U&#10;MBTdI3EHy3sqSdE1dFSpFt1Fs2EoiWHvcpzEkif5u2u4BBdAYtesWLLnNjTH4NtJFdBsesHGsf/w&#10;/N/zy+JirxXZCg/SmooWo5wSYbitpWkr+v7d9ZM5JRCYqZmyRlT0IIBeLB8/WuxcKca2s6oWniCI&#10;gXLnKtqF4MosA94JzWBknTCYbKzXLODRt1nt2Q7RtcrGeT7NdtbXzlsuADC66pN0QPQPAbRNI7lY&#10;WX6jhQk9qheKBaQEnXRAl2naphE8vGkaEIGoiiLTkFa8BPebuGbLBStbz1wn+TACe8gI9zhpJg1e&#10;eoJascDIjZf/QGnJvQXbhBG3OuuJJEWQRZHf0+Ztx5xIXFBqcCfR4f/B8tfbtSeyRiecPZ2dF9Px&#10;DKUxTOPL33369uPj7c/vn3G9+/qFFFGtnYMSm67M2g8ncGsfqe8br0mjpPuAYEkMpEf2SevDSWux&#10;D4RjcFpMJ/MJJfyYynqEiOQ8hBfCahI3FVXSRBVYybYvIeCtWHosiWFjr6VS6SWVIbuKjueTWYRm&#10;aM8GbYFb7ZAimJYSplr0PQ8+QYJVso7tEQh8u7lSnmwZuuXs2ez55WVf1LFa9NHzSZ4PrgEWXtm6&#10;Dxf5MY6zDTBpzr/w49ArBl3fk1JRUmxRBj9R2l7MuNvY+pA0TnF8/lQ4WDX6689z6v79ey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tuF0LWAAAACAEAAA8AAAAAAAAAAQAgAAAAIgAAAGRycy9k&#10;b3ducmV2LnhtbFBLAQIUABQAAAAIAIdO4kC+9Gh6BAIAAOYDAAAOAAAAAAAAAAEAIAAAACUBAABk&#10;cnMvZTJvRG9jLnhtbFBLBQYAAAAABgAGAFkBAACbBQ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rFonts w:hint="eastAsia"/>
                <w:color w:val="auto"/>
                <w:sz w:val="21"/>
                <w:szCs w:val="21"/>
              </w:rPr>
              <w:t>5</w:t>
            </w:r>
          </w:p>
        </w:tc>
        <w:tc>
          <w:tcPr>
            <w:tcW w:w="1578" w:type="dxa"/>
            <w:vAlign w:val="center"/>
          </w:tcPr>
          <w:p>
            <w:pPr>
              <w:adjustRightInd w:val="0"/>
              <w:snapToGrid w:val="0"/>
              <w:jc w:val="center"/>
              <w:rPr>
                <w:color w:val="auto"/>
                <w:sz w:val="21"/>
                <w:szCs w:val="21"/>
              </w:rPr>
            </w:pPr>
            <w:r>
              <w:rPr>
                <w:rFonts w:hint="eastAsia"/>
                <w:color w:val="auto"/>
                <w:sz w:val="21"/>
                <w:szCs w:val="21"/>
              </w:rPr>
              <w:t>绿化工程</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4"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97155</wp:posOffset>
                      </wp:positionV>
                      <wp:extent cx="626745" cy="0"/>
                      <wp:effectExtent l="0" t="19050" r="20955" b="19050"/>
                      <wp:wrapNone/>
                      <wp:docPr id="1131489068" name="直接连接符 1"/>
                      <wp:cNvGraphicFramePr/>
                      <a:graphic xmlns:a="http://schemas.openxmlformats.org/drawingml/2006/main">
                        <a:graphicData uri="http://schemas.microsoft.com/office/word/2010/wordprocessingShape">
                          <wps:wsp>
                            <wps:cNvCnPr/>
                            <wps:spPr>
                              <a:xfrm flipV="1">
                                <a:off x="0" y="0"/>
                                <a:ext cx="62674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5.45pt;margin-top:7.65pt;height:0pt;width:49.35pt;z-index:251669504;mso-width-relative:page;mso-height-relative:page;" filled="f" stroked="t" coordsize="21600,21600" o:gfxdata="UEsDBAoAAAAAAIdO4kAAAAAAAAAAAAAAAAAEAAAAZHJzL1BLAwQUAAAACACHTuJA2JVAcdUAAAAI&#10;AQAADwAAAGRycy9kb3ducmV2LnhtbE2PS0/DMBCE70j8B2uRuKDWDq+WEKdCCG7pgRYkjtvYTQL2&#10;OrLdB/+eRRzgOJrRzDfV4uid2NuYhkAaiqkCYakNZqBOw+v6eTIHkTKSQRfIaviyCRb16UmFpQkH&#10;erH7Ve4El1AqUUOf81hKmdreekzTMFpibxuix8wydtJEPHC5d/JSqVvpcSBe6HG0j71tP1c7ryE0&#10;zXuK5qIJyxmun7YP7vojvWl9flaoexDZHvNfGH7wGR1qZtqEHZkknIZJoe44ysbNFQgOzGd8ZfOr&#10;ZV3J/wfqb1BLAwQUAAAACACHTuJAi6xi9wUCAADmAwAADgAAAGRycy9lMm9Eb2MueG1srVPJktMw&#10;EL1TxT+odCe2Q5LJuOJMMROGC0uqWO6KLNuq0lZqTZaf4Aeo4jacOHLnbxg+g5bsBBguc+Ait3p5&#10;6ve6vbjYa0W2woO0pqLFKKdEGG5radqKvn93/WROCQRmaqasERU9CKAXy8ePFjtXirHtrKqFJwhi&#10;oNy5inYhuDLLgHdCMxhZJwwGG+s1C3j1bVZ7tkN0rbJxns+ynfW185YLAPSu+iAdEP1DAG3TSC5W&#10;lt9oYUKP6oViASlBJx3QZeq2aQQPb5oGRCCqosg0pBMfQXsTz2y5YGXrmeskH1pgD2nhHifNpMFH&#10;T1ArFhi58fIfKC25t2CbMOJWZz2RpAiyKPJ72rztmBOJC0oN7iQ6/D9Y/nq79kTWuAnF02IyP89n&#10;OH/DNE7+7tO3Hx9vf37/jOfd1y+kiGrtHJRYdGXWfriBW/tIfd94TRol3QcES2IgPbJPWh9OWot9&#10;IByds/HsbDKlhB9DWY8QkZyH8EJYTaJRUSVNVIGVbPsSAr6KqceU6Db2WiqVJqkM2VV0PJ+eRWiG&#10;69ngWqCpHVIE01LCVIt7z4NPkGCVrGN5BALfbq6UJ1uG2zJ5dvb88rJP6lgteu/5NM+HrQEWXtm6&#10;dxf50Y+9DTCpz7/wY9MrBl1fk0JRUixRBj9R2l7MaG1sfUgaJz+OPyUOqxr36897qv79ey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iVQHHVAAAACAEAAA8AAAAAAAAAAQAgAAAAIgAAAGRycy9k&#10;b3ducmV2LnhtbFBLAQIUABQAAAAIAIdO4kCLrGL3BQIAAOYDAAAOAAAAAAAAAAEAIAAAACQBAABk&#10;cnMvZTJvRG9jLnhtbFBLBQYAAAAABgAGAFkBAACbBQAAAAA=&#10;">
                      <v:fill on="f" focussize="0,0"/>
                      <v:stroke weight="2.25pt" color="#4A7EBB [3204]" joinstyle="round"/>
                      <v:imagedata o:title=""/>
                      <o:lock v:ext="edit" aspectratio="f"/>
                    </v:line>
                  </w:pict>
                </mc:Fallback>
              </mc:AlternateContent>
            </w: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rFonts w:hint="eastAsia"/>
                <w:color w:val="auto"/>
                <w:sz w:val="21"/>
                <w:szCs w:val="21"/>
              </w:rPr>
              <w:t>6</w:t>
            </w:r>
          </w:p>
        </w:tc>
        <w:tc>
          <w:tcPr>
            <w:tcW w:w="1578" w:type="dxa"/>
            <w:vAlign w:val="center"/>
          </w:tcPr>
          <w:p>
            <w:pPr>
              <w:adjustRightInd w:val="0"/>
              <w:snapToGrid w:val="0"/>
              <w:jc w:val="center"/>
              <w:rPr>
                <w:color w:val="auto"/>
                <w:sz w:val="21"/>
                <w:szCs w:val="21"/>
              </w:rPr>
            </w:pPr>
            <w:r>
              <w:rPr>
                <w:rFonts w:hint="eastAsia"/>
                <w:color w:val="auto"/>
                <w:sz w:val="21"/>
                <w:szCs w:val="21"/>
              </w:rPr>
              <w:t>园区管网</w:t>
            </w:r>
            <w:r>
              <w:rPr>
                <w:color w:val="auto"/>
                <w:sz w:val="21"/>
                <w:szCs w:val="21"/>
              </w:rPr>
              <w:t>工程</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4"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5648" behindDoc="0" locked="0" layoutInCell="1" allowOverlap="1">
                      <wp:simplePos x="0" y="0"/>
                      <wp:positionH relativeFrom="column">
                        <wp:posOffset>-687705</wp:posOffset>
                      </wp:positionH>
                      <wp:positionV relativeFrom="paragraph">
                        <wp:posOffset>88900</wp:posOffset>
                      </wp:positionV>
                      <wp:extent cx="2880995" cy="0"/>
                      <wp:effectExtent l="0" t="19050" r="33655" b="19050"/>
                      <wp:wrapNone/>
                      <wp:docPr id="474222986" name="直接连接符 1"/>
                      <wp:cNvGraphicFramePr/>
                      <a:graphic xmlns:a="http://schemas.openxmlformats.org/drawingml/2006/main">
                        <a:graphicData uri="http://schemas.microsoft.com/office/word/2010/wordprocessingShape">
                          <wps:wsp>
                            <wps:cNvCnPr/>
                            <wps:spPr>
                              <a:xfrm flipV="1">
                                <a:off x="0" y="0"/>
                                <a:ext cx="288099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54.15pt;margin-top:7pt;height:0pt;width:226.85pt;z-index:251675648;mso-width-relative:page;mso-height-relative:page;" filled="f" stroked="t" coordsize="21600,21600" o:gfxdata="UEsDBAoAAAAAAIdO4kAAAAAAAAAAAAAAAAAEAAAAZHJzL1BLAwQUAAAACACHTuJAwlJw9dgAAAAK&#10;AQAADwAAAGRycy9kb3ducmV2LnhtbE2PzU7DMBCE70i8g7VIXFBrhwaoQpwKIbiFQ1sq9ejG2yQQ&#10;ryPb/eHtWcQBjjvzaXamXJzdII4YYu9JQzZVIJAab3tqNbyvXydzEDEZsmbwhBq+MMKiurwoTWH9&#10;iZZ4XKVWcAjFwmjoUhoLKWPToTNx6kck9vY+OJP4DK20wZw43A3yVql76UxP/KEzIz532HyuDk6D&#10;r+ttDPam9m8PZv2yfxryj7jR+voqU48gEp7THww/9bk6VNxp5w9koxg0TDI1nzHLTs6jmJjldzmI&#10;3a8gq1L+n1B9A1BLAwQUAAAACACHTuJAz6byUgMCAADmAwAADgAAAGRycy9lMm9Eb2MueG1srVPL&#10;jtMwFN0j8Q+W9zRp1E7bqOmImTJseFTisXcdJ7Hkl3w9ffwEP4DEDlYs2fM3DJ/BtZMWGDazYOPY&#10;93F8z/HJ8vKgFdkJD9Kaio5HOSXCcFtL01b03dubJ3NKIDBTM2WNqOhRAL1cPX603LtSFLazqhae&#10;IIiBcu8q2oXgyiwD3gnNYGSdMJhsrNcs4NG3We3ZHtG1yoo8v8j21tfOWy4AMLruk3RA9A8BtE0j&#10;uVhbfquFCT2qF4oFpASddEBXadqmETy8bhoQgaiKItOQVrwE99u4ZqslK1vPXCf5MAJ7yAj3OGkm&#10;DV56hlqzwMitl/9Aacm9BduEEbc664kkRZDFOL+nzZuOOZG4oNTgzqLD/4Plr3YbT2Rd0clsUhTF&#10;Yn5BiWEaH/7u47cfHz7//P4J17uvX8g4irV3UGLPtdn44QRu4yPzQ+M1aZR079FVSQtkRw5J6uNZ&#10;anEIhGOwmM/zxWJKCT/lsh4iQjkP4bmwmsRNRZU0UQVWst0LCHgtlp5KYtjYG6lUekllyD6CT2cR&#10;mqE9G7QFbrVDimBaSphq0fc8+AQJVsk6tkcg8O32WnmyY+iWydPZs6urvqhjteiji2meD64BFl7a&#10;ug+P81McZxtg0px/4ceh1wy6vieloqbYogx+ora9mnG3tfUxiZzi+PypcLBq9Nef59T9+/d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UnD12AAAAAoBAAAPAAAAAAAAAAEAIAAAACIAAABkcnMv&#10;ZG93bnJldi54bWxQSwECFAAUAAAACACHTuJAz6byUgMCAADmAwAADgAAAAAAAAABACAAAAAnAQAA&#10;ZHJzL2Uyb0RvYy54bWxQSwUGAAAAAAYABgBZAQAAnAUAAAAA&#10;">
                      <v:fill on="f" focussize="0,0"/>
                      <v:stroke weight="2.25pt" color="#4A7EBB [3204]" joinstyle="round"/>
                      <v:imagedata o:title=""/>
                      <o:lock v:ext="edit" aspectratio="f"/>
                    </v:line>
                  </w:pict>
                </mc:Fallback>
              </mc:AlternateContent>
            </w: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46" w:type="dxa"/>
            <w:vAlign w:val="center"/>
          </w:tcPr>
          <w:p>
            <w:pPr>
              <w:adjustRightInd w:val="0"/>
              <w:snapToGrid w:val="0"/>
              <w:jc w:val="center"/>
              <w:rPr>
                <w:color w:val="auto"/>
                <w:sz w:val="21"/>
                <w:szCs w:val="21"/>
              </w:rPr>
            </w:pPr>
            <w:r>
              <w:rPr>
                <w:color w:val="auto"/>
                <w:sz w:val="21"/>
                <w:szCs w:val="21"/>
              </w:rPr>
              <w:t>7</w:t>
            </w:r>
          </w:p>
        </w:tc>
        <w:tc>
          <w:tcPr>
            <w:tcW w:w="1578" w:type="dxa"/>
            <w:vAlign w:val="center"/>
          </w:tcPr>
          <w:p>
            <w:pPr>
              <w:adjustRightInd w:val="0"/>
              <w:snapToGrid w:val="0"/>
              <w:jc w:val="center"/>
              <w:rPr>
                <w:color w:val="auto"/>
                <w:sz w:val="21"/>
                <w:szCs w:val="21"/>
              </w:rPr>
            </w:pPr>
            <w:r>
              <w:rPr>
                <w:color w:val="auto"/>
                <w:sz w:val="21"/>
                <w:szCs w:val="21"/>
              </w:rPr>
              <w:t>竣工验收</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4" w:type="dxa"/>
            <w:vAlign w:val="center"/>
          </w:tcPr>
          <w:p>
            <w:pPr>
              <w:jc w:val="center"/>
              <w:rPr>
                <w:color w:val="auto"/>
                <w:sz w:val="24"/>
              </w:rPr>
            </w:pPr>
          </w:p>
        </w:tc>
        <w:tc>
          <w:tcPr>
            <w:tcW w:w="567" w:type="dxa"/>
            <w:vAlign w:val="center"/>
          </w:tcPr>
          <w:p>
            <w:pPr>
              <w:jc w:val="center"/>
              <w:rPr>
                <w:color w:val="auto"/>
                <w:sz w:val="24"/>
              </w:rPr>
            </w:pPr>
          </w:p>
        </w:tc>
        <w:tc>
          <w:tcPr>
            <w:tcW w:w="598" w:type="dxa"/>
            <w:vAlign w:val="center"/>
          </w:tcPr>
          <w:p>
            <w:pPr>
              <w:jc w:val="center"/>
              <w:rPr>
                <w:color w:val="auto"/>
                <w:sz w:val="24"/>
              </w:rPr>
            </w:pPr>
          </w:p>
        </w:tc>
        <w:tc>
          <w:tcPr>
            <w:tcW w:w="643" w:type="dxa"/>
            <w:vAlign w:val="center"/>
          </w:tcPr>
          <w:p>
            <w:pPr>
              <w:jc w:val="center"/>
              <w:rPr>
                <w:color w:val="auto"/>
                <w:sz w:val="24"/>
              </w:rPr>
            </w:pPr>
          </w:p>
        </w:tc>
        <w:tc>
          <w:tcPr>
            <w:tcW w:w="643" w:type="dxa"/>
            <w:vAlign w:val="center"/>
          </w:tcPr>
          <w:p>
            <w:pPr>
              <w:jc w:val="center"/>
              <w:rPr>
                <w:color w:val="auto"/>
                <w:sz w:val="24"/>
              </w:rPr>
            </w:pPr>
          </w:p>
        </w:tc>
        <w:tc>
          <w:tcPr>
            <w:tcW w:w="643" w:type="dxa"/>
            <w:vAlign w:val="center"/>
          </w:tcPr>
          <w:p>
            <w:pPr>
              <w:jc w:val="center"/>
              <w:rPr>
                <w:color w:val="auto"/>
                <w:sz w:val="24"/>
              </w:rPr>
            </w:pPr>
          </w:p>
        </w:tc>
        <w:tc>
          <w:tcPr>
            <w:tcW w:w="734" w:type="dxa"/>
            <w:vAlign w:val="center"/>
          </w:tcPr>
          <w:p>
            <w:pPr>
              <w:jc w:val="center"/>
              <w:rPr>
                <w:color w:val="auto"/>
                <w:sz w:val="24"/>
              </w:rPr>
            </w:pPr>
            <w:r>
              <w:rPr>
                <w:color w:val="auto"/>
                <w:sz w:val="20"/>
                <w:szCs w:val="20"/>
              </w:rPr>
              <mc:AlternateContent>
                <mc:Choice Requires="wps">
                  <w:drawing>
                    <wp:anchor distT="0" distB="0" distL="114300" distR="114300" simplePos="0" relativeHeight="251671552" behindDoc="0" locked="0" layoutInCell="1" allowOverlap="1">
                      <wp:simplePos x="0" y="0"/>
                      <wp:positionH relativeFrom="column">
                        <wp:posOffset>180340</wp:posOffset>
                      </wp:positionH>
                      <wp:positionV relativeFrom="paragraph">
                        <wp:posOffset>76835</wp:posOffset>
                      </wp:positionV>
                      <wp:extent cx="212090" cy="0"/>
                      <wp:effectExtent l="0" t="19050" r="35560" b="19050"/>
                      <wp:wrapNone/>
                      <wp:docPr id="457325958" name="直接连接符 1"/>
                      <wp:cNvGraphicFramePr/>
                      <a:graphic xmlns:a="http://schemas.openxmlformats.org/drawingml/2006/main">
                        <a:graphicData uri="http://schemas.microsoft.com/office/word/2010/wordprocessingShape">
                          <wps:wsp>
                            <wps:cNvCnPr/>
                            <wps:spPr>
                              <a:xfrm flipV="1">
                                <a:off x="0" y="0"/>
                                <a:ext cx="2120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4.2pt;margin-top:6.05pt;height:0pt;width:16.7pt;z-index:251671552;mso-width-relative:page;mso-height-relative:page;" filled="f" stroked="t" coordsize="21600,21600" o:gfxdata="UEsDBAoAAAAAAIdO4kAAAAAAAAAAAAAAAAAEAAAAZHJzL1BLAwQUAAAACACHTuJA4Mxu9NQAAAAH&#10;AQAADwAAAGRycy9kb3ducmV2LnhtbE2PzU7DMBCE70i8g7VIXBB1ElWlCnEqhOAWDrQgcdzG2yRg&#10;r6PY/eHtWcSBHmdnNPtNtTp5pw40xSGwgXyWgSJugx24M/C2eb5dgooJ2aILTAa+KcKqvryosLTh&#10;yK90WKdOSQnHEg30KY2l1rHtyWOchZFYvF2YPCaRU6fthEcp904XWbbQHgeWDz2O9NhT+7XeewOh&#10;aT7iZG+a8HKHm6fdg5t/xndjrq/y7B5UolP6D8MvvqBDLUzbsGcblTNQLOeSlHuRgxJ/kcuS7Z/W&#10;daXP+esfUEsDBBQAAAAIAIdO4kB1DEmsBAIAAOUDAAAOAAAAZHJzL2Uyb0RvYy54bWytU0uS0zAQ&#10;3VPFHVTaEzthTCauOFPMhGHDJ1V89oos26rSr9SaOLkEF6CKHaxYsuc2DMegJTsBhs0s2Mit/jz1&#10;e91eXuy1IjvhQVpT0ekkp0QYbmtp2oq+e3v96JwSCMzUTFkjKnoQQC9WDx8se1eKme2sqoUnCGKg&#10;7F1FuxBcmWXAO6EZTKwTBoON9ZoFvPo2qz3rEV2rbJbnT7Le+tp5ywUAetdDkI6I/j6AtmkkF2vL&#10;b7QwYUD1QrGAlKCTDugqdds0gofXTQMiEFVRZBrSiY+gvY1ntlqysvXMdZKPLbD7tHCHk2bS4KMn&#10;qDULjNx4+Q+UltxbsE2YcKuzgUhSBFlM8zvavOmYE4kLSg3uJDr8P1j+arfxRNYVPSvmj2fFosDx&#10;G6Zx8Lcfv/348Pnn90943n79QqZRrN5BiTVXZuPHG7iNj8z3jdekUdK9x61KWiA7sk9SH05Si30g&#10;HJ2z6Sxf4BD4MZQNCBHJeQjPhdUkGhVV0kQRWMl2LyDgq5h6TIluY6+lUmmQypAesc+LeYHQDLez&#10;wa1AUztkCKalhKkW154HnyDBKlnH8ggEvt1eKU92DJfl7On82eXlkNSxWgzeRZHn49IACy9tPbin&#10;+dGPvY0wqc+/8GPTawbdUJNCUVIsUQY/UdpBzGhtbX1IGic/Tj8ljpsa1+vPe6r+/Xe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zG701AAAAAcBAAAPAAAAAAAAAAEAIAAAACIAAABkcnMvZG93&#10;bnJldi54bWxQSwECFAAUAAAACACHTuJAdQxJrAQCAADlAwAADgAAAAAAAAABACAAAAAjAQAAZHJz&#10;L2Uyb0RvYy54bWxQSwUGAAAAAAYABgBZAQAAmQUAAAAA&#10;">
                      <v:fill on="f" focussize="0,0"/>
                      <v:stroke weight="2.25pt" color="#4A7EBB [3204]" joinstyle="round"/>
                      <v:imagedata o:title=""/>
                      <o:lock v:ext="edit" aspectratio="f"/>
                    </v:line>
                  </w:pict>
                </mc:Fallback>
              </mc:AlternateContent>
            </w:r>
          </w:p>
        </w:tc>
      </w:tr>
      <w:bookmarkEnd w:id="81"/>
    </w:tbl>
    <w:p>
      <w:pPr>
        <w:spacing w:line="360" w:lineRule="auto"/>
        <w:contextualSpacing/>
        <w:outlineLvl w:val="1"/>
        <w:rPr>
          <w:b/>
          <w:bCs/>
          <w:color w:val="auto"/>
          <w:sz w:val="30"/>
          <w:szCs w:val="30"/>
        </w:rPr>
      </w:pPr>
      <w:bookmarkStart w:id="83" w:name="_Toc145530053"/>
      <w:r>
        <w:rPr>
          <w:b/>
          <w:bCs/>
          <w:color w:val="auto"/>
          <w:sz w:val="30"/>
          <w:szCs w:val="30"/>
        </w:rPr>
        <w:t>2.7自然概况</w:t>
      </w:r>
      <w:bookmarkEnd w:id="83"/>
    </w:p>
    <w:p>
      <w:pPr>
        <w:spacing w:line="360" w:lineRule="auto"/>
        <w:contextualSpacing/>
        <w:outlineLvl w:val="2"/>
        <w:rPr>
          <w:b/>
          <w:bCs/>
          <w:color w:val="auto"/>
          <w:sz w:val="28"/>
          <w:szCs w:val="28"/>
        </w:rPr>
      </w:pPr>
      <w:r>
        <w:rPr>
          <w:b/>
          <w:bCs/>
          <w:color w:val="auto"/>
          <w:sz w:val="28"/>
          <w:szCs w:val="28"/>
        </w:rPr>
        <w:t>2.7.1地质</w:t>
      </w:r>
    </w:p>
    <w:p>
      <w:pPr>
        <w:pStyle w:val="32"/>
        <w:contextualSpacing/>
        <w:rPr>
          <w:color w:val="auto"/>
          <w:sz w:val="24"/>
        </w:rPr>
      </w:pPr>
      <w:r>
        <w:rPr>
          <w:rFonts w:hint="eastAsia"/>
          <w:color w:val="auto"/>
          <w:sz w:val="24"/>
        </w:rPr>
        <w:t>1、区域地质</w:t>
      </w:r>
    </w:p>
    <w:p>
      <w:pPr>
        <w:pStyle w:val="32"/>
        <w:contextualSpacing/>
        <w:rPr>
          <w:color w:val="auto"/>
          <w:sz w:val="24"/>
        </w:rPr>
      </w:pPr>
      <w:r>
        <w:rPr>
          <w:rFonts w:hint="eastAsia"/>
          <w:color w:val="auto"/>
          <w:sz w:val="24"/>
        </w:rPr>
        <w:t>鸡西市位于黑龙江省东南部，佳木斯台隆的南部、小兴安岭与张广才岭准地槽褶皱带相间部位，基底为上元古界变质岩系，其上分布着古生代以陆相沉积为主的沉积盖层，并伴随有酸碱性的岩浆侵入，中生代构造运动形成内陆拗陷，沉积了侏罗系、白垩系地层，由于受新构造运动及内陆沉积的影响，地形变化较为复杂，地貌多样，形成了低山丘陵、沟谷平原、山前漫岗、平原及沿江低平原等五种地貌类型。</w:t>
      </w:r>
    </w:p>
    <w:p>
      <w:pPr>
        <w:pStyle w:val="32"/>
        <w:contextualSpacing/>
        <w:rPr>
          <w:color w:val="auto"/>
          <w:sz w:val="24"/>
        </w:rPr>
      </w:pPr>
      <w:r>
        <w:rPr>
          <w:rFonts w:hint="eastAsia"/>
          <w:color w:val="auto"/>
          <w:sz w:val="24"/>
        </w:rPr>
        <w:t>2、地层</w:t>
      </w:r>
    </w:p>
    <w:p>
      <w:pPr>
        <w:pStyle w:val="32"/>
        <w:contextualSpacing/>
        <w:rPr>
          <w:color w:val="auto"/>
          <w:sz w:val="24"/>
        </w:rPr>
      </w:pPr>
      <w:r>
        <w:rPr>
          <w:rFonts w:hint="eastAsia"/>
          <w:color w:val="auto"/>
          <w:sz w:val="24"/>
        </w:rPr>
        <w:t>场地地层顶部为杂填土，中部为粉质黏土及残积土，底部为砂岩，场地地层沉积环境变化较小，地层沉积规律较简单。自上而下从新至老分别叙述如下：</w:t>
      </w:r>
    </w:p>
    <w:p>
      <w:pPr>
        <w:pStyle w:val="32"/>
        <w:contextualSpacing/>
        <w:rPr>
          <w:color w:val="auto"/>
          <w:sz w:val="24"/>
        </w:rPr>
      </w:pPr>
      <w:r>
        <w:rPr>
          <w:rFonts w:hint="eastAsia"/>
          <w:color w:val="auto"/>
          <w:sz w:val="24"/>
        </w:rPr>
        <w:t>第①层杂填土：杂色，湿，松散，由建筑垃圾及杂土组成，局部出露。层厚0.60～4.20m。</w:t>
      </w:r>
    </w:p>
    <w:p>
      <w:pPr>
        <w:pStyle w:val="32"/>
        <w:contextualSpacing/>
        <w:rPr>
          <w:color w:val="auto"/>
          <w:sz w:val="24"/>
        </w:rPr>
      </w:pPr>
      <w:r>
        <w:rPr>
          <w:rFonts w:hint="eastAsia"/>
          <w:color w:val="auto"/>
          <w:sz w:val="24"/>
        </w:rPr>
        <w:t>第②层粉质粘土：黑色，硬塑，稍有光泽反应，干强度中等，韧性中等。层厚0.40～3.00m。</w:t>
      </w:r>
    </w:p>
    <w:p>
      <w:pPr>
        <w:pStyle w:val="32"/>
        <w:contextualSpacing/>
        <w:rPr>
          <w:color w:val="auto"/>
          <w:sz w:val="24"/>
        </w:rPr>
      </w:pPr>
      <w:r>
        <w:rPr>
          <w:rFonts w:hint="eastAsia"/>
          <w:color w:val="auto"/>
          <w:sz w:val="24"/>
        </w:rPr>
        <w:t>第③层砂质黏性土：黄褐色，可塑-硬塑，含石英质角砾约为20</w:t>
      </w:r>
      <w:r>
        <w:rPr>
          <w:color w:val="auto"/>
          <w:sz w:val="24"/>
        </w:rPr>
        <w:tab/>
      </w:r>
      <w:r>
        <w:rPr>
          <w:color w:val="auto"/>
          <w:sz w:val="24"/>
        </w:rPr>
        <w:t>~</w:t>
      </w:r>
      <w:r>
        <w:rPr>
          <w:rFonts w:hint="eastAsia"/>
          <w:color w:val="auto"/>
          <w:sz w:val="24"/>
        </w:rPr>
        <w:t>40%，母岩为花岗岩。遇水易软化。层厚0.40～3.20.m。</w:t>
      </w:r>
    </w:p>
    <w:p>
      <w:pPr>
        <w:pStyle w:val="32"/>
        <w:contextualSpacing/>
        <w:rPr>
          <w:color w:val="auto"/>
          <w:sz w:val="24"/>
        </w:rPr>
      </w:pPr>
      <w:r>
        <w:rPr>
          <w:rFonts w:hint="eastAsia"/>
          <w:color w:val="auto"/>
          <w:sz w:val="24"/>
        </w:rPr>
        <w:t>第④层层片麻岩：灰黄色，全风化，斑状变晶结构，片麻状构造，岩芯多呈块状及土状，手捻易碎，干钻可钻进，遇水易软化，破碎。 控制层厚2.00～7.10.m。</w:t>
      </w:r>
    </w:p>
    <w:p>
      <w:pPr>
        <w:spacing w:line="360" w:lineRule="auto"/>
        <w:contextualSpacing/>
        <w:outlineLvl w:val="2"/>
        <w:rPr>
          <w:b/>
          <w:bCs/>
          <w:color w:val="auto"/>
          <w:sz w:val="28"/>
          <w:szCs w:val="28"/>
        </w:rPr>
      </w:pPr>
      <w:r>
        <w:rPr>
          <w:b/>
          <w:bCs/>
          <w:color w:val="auto"/>
          <w:sz w:val="28"/>
          <w:szCs w:val="28"/>
        </w:rPr>
        <w:t>2.7.2</w:t>
      </w:r>
      <w:r>
        <w:rPr>
          <w:rFonts w:hint="eastAsia"/>
          <w:b/>
          <w:bCs/>
          <w:color w:val="auto"/>
          <w:sz w:val="28"/>
          <w:szCs w:val="28"/>
        </w:rPr>
        <w:t>地形</w:t>
      </w:r>
      <w:r>
        <w:rPr>
          <w:b/>
          <w:bCs/>
          <w:color w:val="auto"/>
          <w:sz w:val="28"/>
          <w:szCs w:val="28"/>
        </w:rPr>
        <w:t>地貌</w:t>
      </w:r>
    </w:p>
    <w:p>
      <w:pPr>
        <w:pStyle w:val="100"/>
        <w:spacing w:line="360" w:lineRule="auto"/>
        <w:ind w:firstLine="480"/>
        <w:contextualSpacing/>
        <w:rPr>
          <w:rFonts w:ascii="Times New Roman" w:hAnsi="Times New Roman" w:cs="Times New Roman"/>
          <w:color w:val="auto"/>
          <w:sz w:val="24"/>
        </w:rPr>
      </w:pPr>
      <w:r>
        <w:rPr>
          <w:rFonts w:hint="eastAsia" w:ascii="Times New Roman" w:hAnsi="Times New Roman" w:cs="Times New Roman"/>
          <w:color w:val="auto"/>
          <w:sz w:val="24"/>
        </w:rPr>
        <w:t>鸡西市境内地势起伏，地形以山地、丘陵、平原为主，地貌特征为“四山一水一草四分田”。场地地处坡积沉积地貌，西南高，东北低，场地标高298.05m~3</w:t>
      </w:r>
      <w:r>
        <w:rPr>
          <w:rFonts w:ascii="Times New Roman" w:hAnsi="Times New Roman" w:cs="Times New Roman"/>
          <w:color w:val="auto"/>
          <w:sz w:val="24"/>
        </w:rPr>
        <w:t>05.51</w:t>
      </w:r>
      <w:r>
        <w:rPr>
          <w:rFonts w:hint="eastAsia" w:ascii="Times New Roman" w:hAnsi="Times New Roman" w:cs="Times New Roman"/>
          <w:color w:val="auto"/>
          <w:sz w:val="24"/>
        </w:rPr>
        <w:t>m，</w:t>
      </w:r>
      <w:r>
        <w:rPr>
          <w:rFonts w:ascii="Times New Roman" w:hAnsi="Times New Roman" w:cs="Times New Roman"/>
          <w:color w:val="auto"/>
          <w:sz w:val="24"/>
        </w:rPr>
        <w:t>最大高差</w:t>
      </w:r>
      <w:r>
        <w:rPr>
          <w:rFonts w:hint="eastAsia" w:ascii="Times New Roman" w:hAnsi="Times New Roman" w:cs="Times New Roman"/>
          <w:color w:val="auto"/>
          <w:sz w:val="24"/>
        </w:rPr>
        <w:t>约</w:t>
      </w:r>
      <w:r>
        <w:rPr>
          <w:rFonts w:ascii="Times New Roman" w:hAnsi="Times New Roman" w:cs="Times New Roman"/>
          <w:color w:val="auto"/>
          <w:sz w:val="24"/>
        </w:rPr>
        <w:t>7.46m。</w:t>
      </w:r>
    </w:p>
    <w:p>
      <w:pPr>
        <w:spacing w:line="360" w:lineRule="auto"/>
        <w:contextualSpacing/>
        <w:outlineLvl w:val="2"/>
        <w:rPr>
          <w:b/>
          <w:bCs/>
          <w:color w:val="auto"/>
          <w:sz w:val="28"/>
          <w:szCs w:val="28"/>
        </w:rPr>
      </w:pPr>
      <w:r>
        <w:rPr>
          <w:b/>
          <w:bCs/>
          <w:color w:val="auto"/>
          <w:sz w:val="28"/>
          <w:szCs w:val="28"/>
        </w:rPr>
        <w:t>2.7.3气象</w:t>
      </w:r>
    </w:p>
    <w:p>
      <w:pPr>
        <w:spacing w:line="360" w:lineRule="auto"/>
        <w:ind w:firstLine="480" w:firstLineChars="200"/>
        <w:contextualSpacing/>
        <w:rPr>
          <w:bCs/>
          <w:color w:val="auto"/>
          <w:sz w:val="24"/>
          <w:szCs w:val="22"/>
        </w:rPr>
      </w:pPr>
      <w:r>
        <w:rPr>
          <w:rFonts w:hint="eastAsia"/>
          <w:color w:val="auto"/>
          <w:sz w:val="24"/>
        </w:rPr>
        <w:t>鸡西市地处中纬度亚洲大陆东岸，黑龙江省东南部，属于中温带大陆性季风气候。四季气候变化明显，春季易干旱多大风，夏热短促雨水集中，秋季寒潮降温，常有冻害发生，冬季寒冷漫长且干燥。全市年平均气温在3.5℃~4.2℃之间，由南向北递减。全市≥10℃的积温在2450℃</w:t>
      </w:r>
      <w:r>
        <w:rPr>
          <w:color w:val="auto"/>
          <w:sz w:val="24"/>
        </w:rPr>
        <w:t>~</w:t>
      </w:r>
      <w:r>
        <w:rPr>
          <w:rFonts w:hint="eastAsia"/>
          <w:color w:val="auto"/>
          <w:sz w:val="24"/>
        </w:rPr>
        <w:t>2720℃。全市无霜期在140天左右，大部分地区初霜冻在9月下旬出现，终霜冻在五月上旬结束。全市年平均降水量多介于520~550mm，夏季降水占全年降水量 60%以上。年平均相对湿度为65%左右。</w:t>
      </w:r>
    </w:p>
    <w:p>
      <w:pPr>
        <w:spacing w:line="360" w:lineRule="auto"/>
        <w:contextualSpacing/>
        <w:outlineLvl w:val="2"/>
        <w:rPr>
          <w:b/>
          <w:bCs/>
          <w:color w:val="auto"/>
          <w:sz w:val="28"/>
          <w:szCs w:val="28"/>
        </w:rPr>
      </w:pPr>
      <w:r>
        <w:rPr>
          <w:b/>
          <w:bCs/>
          <w:color w:val="auto"/>
          <w:sz w:val="28"/>
          <w:szCs w:val="28"/>
        </w:rPr>
        <w:t>2.7.4水文</w:t>
      </w:r>
    </w:p>
    <w:p>
      <w:pPr>
        <w:pStyle w:val="32"/>
        <w:contextualSpacing/>
        <w:rPr>
          <w:color w:val="auto"/>
          <w:sz w:val="24"/>
        </w:rPr>
      </w:pPr>
      <w:r>
        <w:rPr>
          <w:rFonts w:hint="eastAsia"/>
          <w:color w:val="auto"/>
          <w:sz w:val="24"/>
        </w:rPr>
        <w:t>鸡西市全境属乌苏里江水系，共有大小河流62条，境内有大小泡沼、湖泊569处，小型以上规模水库37座（不包括农场），其中大型水库1座，中型水库6座，小型水库30座，总库容7.4×108m</w:t>
      </w:r>
      <w:r>
        <w:rPr>
          <w:rFonts w:hint="eastAsia"/>
          <w:color w:val="auto"/>
          <w:sz w:val="24"/>
          <w:vertAlign w:val="superscript"/>
        </w:rPr>
        <w:t>3</w:t>
      </w:r>
      <w:r>
        <w:rPr>
          <w:rFonts w:hint="eastAsia"/>
          <w:color w:val="auto"/>
          <w:sz w:val="24"/>
        </w:rPr>
        <w:t>。乌苏里江自南向北而流，是国际河流，流经俄罗斯和中国，流域面积187000km</w:t>
      </w:r>
      <w:r>
        <w:rPr>
          <w:rFonts w:hint="eastAsia"/>
          <w:color w:val="auto"/>
          <w:sz w:val="24"/>
          <w:vertAlign w:val="superscript"/>
        </w:rPr>
        <w:t>2</w:t>
      </w:r>
      <w:r>
        <w:rPr>
          <w:rFonts w:hint="eastAsia"/>
          <w:color w:val="auto"/>
          <w:sz w:val="24"/>
        </w:rPr>
        <w:t>，其中在我国境内面积58843km</w:t>
      </w:r>
      <w:r>
        <w:rPr>
          <w:rFonts w:hint="eastAsia"/>
          <w:color w:val="auto"/>
          <w:sz w:val="24"/>
          <w:vertAlign w:val="superscript"/>
        </w:rPr>
        <w:t>2</w:t>
      </w:r>
      <w:r>
        <w:rPr>
          <w:rFonts w:hint="eastAsia"/>
          <w:color w:val="auto"/>
          <w:sz w:val="24"/>
        </w:rPr>
        <w:t>。穆棱河是乌苏里江左侧最大支流之一。穆棱河全长834km，汇水面积 11488.7km</w:t>
      </w:r>
      <w:r>
        <w:rPr>
          <w:rFonts w:hint="eastAsia"/>
          <w:color w:val="auto"/>
          <w:sz w:val="24"/>
          <w:vertAlign w:val="superscript"/>
        </w:rPr>
        <w:t>2</w:t>
      </w:r>
      <w:r>
        <w:rPr>
          <w:rFonts w:hint="eastAsia"/>
          <w:color w:val="auto"/>
          <w:sz w:val="24"/>
        </w:rPr>
        <w:t>，年地表径流量14.36×10</w:t>
      </w:r>
      <w:r>
        <w:rPr>
          <w:rFonts w:hint="eastAsia"/>
          <w:color w:val="auto"/>
          <w:sz w:val="24"/>
          <w:vertAlign w:val="superscript"/>
        </w:rPr>
        <w:t>8</w:t>
      </w:r>
      <w:r>
        <w:rPr>
          <w:rFonts w:hint="eastAsia"/>
          <w:color w:val="auto"/>
          <w:sz w:val="24"/>
        </w:rPr>
        <w:t>m</w:t>
      </w:r>
      <w:r>
        <w:rPr>
          <w:rFonts w:hint="eastAsia"/>
          <w:color w:val="auto"/>
          <w:sz w:val="24"/>
          <w:vertAlign w:val="superscript"/>
        </w:rPr>
        <w:t>3</w:t>
      </w:r>
      <w:r>
        <w:rPr>
          <w:rFonts w:hint="eastAsia"/>
          <w:color w:val="auto"/>
          <w:sz w:val="24"/>
        </w:rPr>
        <w:t>，在鸡西境内长610km，是唯一一条经边界流入区内，并贯通区域内的所属县（市）的河流，从鸡西市区入境到虎林市注入乌苏里江，流经市内面积11488.7km</w:t>
      </w:r>
      <w:r>
        <w:rPr>
          <w:rFonts w:hint="eastAsia"/>
          <w:color w:val="auto"/>
          <w:sz w:val="24"/>
          <w:vertAlign w:val="superscript"/>
        </w:rPr>
        <w:t>2</w:t>
      </w:r>
      <w:r>
        <w:rPr>
          <w:rFonts w:hint="eastAsia"/>
          <w:color w:val="auto"/>
          <w:sz w:val="24"/>
        </w:rPr>
        <w:t>，占全市总面积近50%，多年平均径流量约占全市流量的70%，穆棱河入境水量不仅是全市可利用的水资源的重要部分，而且也是市内各县（市）可利用的主要水源。除上述两大河流外，300km</w:t>
      </w:r>
      <w:r>
        <w:rPr>
          <w:rFonts w:hint="eastAsia"/>
          <w:color w:val="auto"/>
          <w:sz w:val="24"/>
          <w:vertAlign w:val="superscript"/>
        </w:rPr>
        <w:t>2</w:t>
      </w:r>
      <w:r>
        <w:rPr>
          <w:rFonts w:hint="eastAsia"/>
          <w:color w:val="auto"/>
          <w:sz w:val="24"/>
        </w:rPr>
        <w:t>以上的河流有16条，主要有虻牛河、滴道河、黄泥河、哈达河、锅盔河、裴德里河、七虎林河、阿布沁河、松阿察河等。</w:t>
      </w:r>
    </w:p>
    <w:p>
      <w:pPr>
        <w:spacing w:line="360" w:lineRule="auto"/>
        <w:contextualSpacing/>
        <w:outlineLvl w:val="2"/>
        <w:rPr>
          <w:b/>
          <w:bCs/>
          <w:color w:val="auto"/>
          <w:sz w:val="28"/>
          <w:szCs w:val="28"/>
        </w:rPr>
      </w:pPr>
      <w:r>
        <w:rPr>
          <w:b/>
          <w:bCs/>
          <w:color w:val="auto"/>
          <w:sz w:val="28"/>
          <w:szCs w:val="28"/>
        </w:rPr>
        <w:t>2.7.5 土壤</w:t>
      </w:r>
    </w:p>
    <w:p>
      <w:pPr>
        <w:adjustRightInd w:val="0"/>
        <w:snapToGrid w:val="0"/>
        <w:spacing w:line="360" w:lineRule="auto"/>
        <w:ind w:firstLine="480" w:firstLineChars="200"/>
        <w:contextualSpacing/>
        <w:rPr>
          <w:color w:val="auto"/>
          <w:sz w:val="24"/>
        </w:rPr>
      </w:pPr>
      <w:r>
        <w:rPr>
          <w:rFonts w:hint="eastAsia"/>
          <w:color w:val="auto"/>
          <w:sz w:val="24"/>
        </w:rPr>
        <w:t>根据《黑龙江省土壤分类》和鸡西市土壤普查结果，鸡西市有暗棕壤、草甸土、白浆土、沼泽土、河淤土、水稻土和石质土等 7 个土类，16 个亚类，21 个土属和27 个土种。</w:t>
      </w:r>
    </w:p>
    <w:p>
      <w:pPr>
        <w:adjustRightInd w:val="0"/>
        <w:snapToGrid w:val="0"/>
        <w:spacing w:line="360" w:lineRule="auto"/>
        <w:ind w:firstLine="480" w:firstLineChars="200"/>
        <w:contextualSpacing/>
        <w:rPr>
          <w:color w:val="auto"/>
          <w:sz w:val="24"/>
        </w:rPr>
      </w:pPr>
      <w:r>
        <w:rPr>
          <w:rFonts w:hint="eastAsia"/>
          <w:color w:val="auto"/>
          <w:sz w:val="24"/>
        </w:rPr>
        <w:t>项目区土壤类型为暗色草甸土；本地块内表层土为杂填土，无可剥离的表土。</w:t>
      </w:r>
    </w:p>
    <w:p>
      <w:pPr>
        <w:spacing w:line="360" w:lineRule="auto"/>
        <w:contextualSpacing/>
        <w:outlineLvl w:val="2"/>
        <w:rPr>
          <w:b/>
          <w:bCs/>
          <w:color w:val="auto"/>
          <w:sz w:val="28"/>
          <w:szCs w:val="28"/>
        </w:rPr>
      </w:pPr>
      <w:r>
        <w:rPr>
          <w:b/>
          <w:bCs/>
          <w:color w:val="auto"/>
          <w:sz w:val="28"/>
          <w:szCs w:val="28"/>
        </w:rPr>
        <w:t>2.7.6植被</w:t>
      </w:r>
    </w:p>
    <w:p>
      <w:pPr>
        <w:adjustRightInd w:val="0"/>
        <w:snapToGrid w:val="0"/>
        <w:spacing w:line="360" w:lineRule="auto"/>
        <w:ind w:firstLine="480" w:firstLineChars="200"/>
        <w:contextualSpacing/>
        <w:rPr>
          <w:color w:val="auto"/>
          <w:sz w:val="24"/>
        </w:rPr>
      </w:pPr>
      <w:r>
        <w:rPr>
          <w:rFonts w:hint="eastAsia"/>
          <w:color w:val="auto"/>
          <w:sz w:val="24"/>
        </w:rPr>
        <w:t>鸡西市自然植被属长白山植物区系，在黑龙江省植被区划中属小兴安岭张广才岭完达山阔叶红松林区中的南部张广才岭完达山阔叶红松林亚区。市区植被以森林植被为主，山间沟谷分布有草甸植被。森林植被为针阔叶混交林，针叶林有落叶松、樟子松、云杉、冷杉、红松，阔叶林有柞木、杨树、椴树、桦树及榛柴、胡枝子等灌木林。山间沟谷草甸植被分布有小叶樟、苔草、丛桦、地榆等。</w:t>
      </w:r>
    </w:p>
    <w:p>
      <w:pPr>
        <w:adjustRightInd w:val="0"/>
        <w:snapToGrid w:val="0"/>
        <w:spacing w:line="360" w:lineRule="auto"/>
        <w:ind w:firstLine="480" w:firstLineChars="200"/>
        <w:contextualSpacing/>
        <w:rPr>
          <w:color w:val="auto"/>
          <w:sz w:val="24"/>
        </w:rPr>
      </w:pPr>
      <w:r>
        <w:rPr>
          <w:rFonts w:hint="eastAsia"/>
          <w:color w:val="auto"/>
          <w:sz w:val="24"/>
        </w:rPr>
        <w:t>本项目建构筑物工程已基本完工，还未进行绿化，项目区内无植被覆盖</w:t>
      </w:r>
      <w:r>
        <w:rPr>
          <w:color w:val="auto"/>
          <w:sz w:val="24"/>
        </w:rPr>
        <w:t>。</w:t>
      </w:r>
    </w:p>
    <w:p>
      <w:pPr>
        <w:spacing w:line="360" w:lineRule="auto"/>
        <w:contextualSpacing/>
        <w:outlineLvl w:val="2"/>
        <w:rPr>
          <w:b/>
          <w:bCs/>
          <w:color w:val="auto"/>
          <w:sz w:val="28"/>
          <w:szCs w:val="28"/>
        </w:rPr>
      </w:pPr>
      <w:r>
        <w:rPr>
          <w:b/>
          <w:bCs/>
          <w:color w:val="auto"/>
          <w:sz w:val="28"/>
          <w:szCs w:val="28"/>
        </w:rPr>
        <w:t>2.7.7其他</w:t>
      </w:r>
    </w:p>
    <w:p>
      <w:pPr>
        <w:pStyle w:val="45"/>
        <w:spacing w:line="360" w:lineRule="auto"/>
        <w:ind w:firstLine="480" w:firstLineChars="200"/>
        <w:contextualSpacing/>
        <w:rPr>
          <w:rFonts w:eastAsia="仿宋_GB2312" w:cs="Times New Roman"/>
          <w:color w:val="auto"/>
          <w:kern w:val="2"/>
          <w:sz w:val="24"/>
          <w:szCs w:val="24"/>
        </w:rPr>
      </w:pPr>
      <w:r>
        <w:rPr>
          <w:rFonts w:eastAsia="仿宋_GB2312" w:cs="Times New Roman"/>
          <w:color w:val="auto"/>
          <w:kern w:val="2"/>
          <w:sz w:val="24"/>
          <w:szCs w:val="24"/>
        </w:rPr>
        <w:t>项目区所在范围内不涉及饮用水水源保护区、水功能一级区的保护区和保留区、自然保护区、世界文化和自然遗产地、风景名胜区、地质公园、森林公园、重要湿地等敏感区。</w:t>
      </w:r>
    </w:p>
    <w:p>
      <w:pPr>
        <w:spacing w:line="300" w:lineRule="auto"/>
        <w:ind w:firstLine="480" w:firstLineChars="200"/>
        <w:contextualSpacing/>
        <w:rPr>
          <w:color w:val="auto"/>
          <w:sz w:val="24"/>
        </w:rPr>
        <w:sectPr>
          <w:headerReference r:id="rId12" w:type="default"/>
          <w:footerReference r:id="rId13" w:type="default"/>
          <w:pgSz w:w="11906" w:h="16838"/>
          <w:pgMar w:top="1440" w:right="1800" w:bottom="1440" w:left="1800" w:header="851" w:footer="992" w:gutter="0"/>
          <w:cols w:space="425" w:num="1"/>
          <w:docGrid w:type="lines" w:linePitch="312" w:charSpace="0"/>
        </w:sectPr>
      </w:pPr>
    </w:p>
    <w:p>
      <w:pPr>
        <w:spacing w:line="360" w:lineRule="auto"/>
        <w:contextualSpacing/>
        <w:jc w:val="center"/>
        <w:outlineLvl w:val="0"/>
        <w:rPr>
          <w:b/>
          <w:bCs/>
          <w:color w:val="auto"/>
          <w:sz w:val="36"/>
          <w:szCs w:val="36"/>
        </w:rPr>
      </w:pPr>
      <w:bookmarkStart w:id="84" w:name="_Toc145530054"/>
      <w:bookmarkStart w:id="85" w:name="_Toc522647718"/>
      <w:bookmarkStart w:id="86" w:name="_Toc521945627"/>
      <w:r>
        <w:rPr>
          <w:b/>
          <w:bCs/>
          <w:color w:val="auto"/>
          <w:sz w:val="36"/>
          <w:szCs w:val="36"/>
        </w:rPr>
        <w:t>3 项目水土保持评价</w:t>
      </w:r>
      <w:bookmarkEnd w:id="84"/>
      <w:bookmarkEnd w:id="85"/>
      <w:bookmarkEnd w:id="86"/>
    </w:p>
    <w:p>
      <w:pPr>
        <w:spacing w:line="360" w:lineRule="auto"/>
        <w:contextualSpacing/>
        <w:outlineLvl w:val="1"/>
        <w:rPr>
          <w:b/>
          <w:bCs/>
          <w:color w:val="auto"/>
          <w:sz w:val="30"/>
          <w:szCs w:val="30"/>
        </w:rPr>
      </w:pPr>
      <w:bookmarkStart w:id="87" w:name="_Toc521945628"/>
      <w:bookmarkStart w:id="88" w:name="_Toc145530055"/>
      <w:bookmarkStart w:id="89" w:name="_Toc522647719"/>
      <w:r>
        <w:rPr>
          <w:b/>
          <w:bCs/>
          <w:color w:val="auto"/>
          <w:sz w:val="30"/>
          <w:szCs w:val="30"/>
        </w:rPr>
        <w:t>3.1主体工程选址水土保持评价</w:t>
      </w:r>
      <w:bookmarkEnd w:id="87"/>
      <w:bookmarkEnd w:id="88"/>
      <w:bookmarkEnd w:id="89"/>
    </w:p>
    <w:p>
      <w:pPr>
        <w:pStyle w:val="11"/>
        <w:adjustRightInd w:val="0"/>
        <w:snapToGrid w:val="0"/>
        <w:spacing w:after="0" w:line="300" w:lineRule="auto"/>
        <w:contextualSpacing/>
        <w:jc w:val="center"/>
        <w:rPr>
          <w:b/>
          <w:color w:val="auto"/>
          <w:sz w:val="24"/>
        </w:rPr>
      </w:pPr>
      <w:r>
        <w:rPr>
          <w:b/>
          <w:color w:val="auto"/>
          <w:sz w:val="24"/>
        </w:rPr>
        <w:t>表3.1-1  对照《中华人民共和国水土保持法》对主体工程分析与评价</w:t>
      </w:r>
    </w:p>
    <w:tbl>
      <w:tblPr>
        <w:tblStyle w:val="25"/>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414"/>
        <w:gridCol w:w="2036"/>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2" w:type="dxa"/>
            <w:vAlign w:val="center"/>
          </w:tcPr>
          <w:p>
            <w:pPr>
              <w:spacing w:line="300" w:lineRule="auto"/>
              <w:contextualSpacing/>
              <w:jc w:val="center"/>
              <w:rPr>
                <w:color w:val="auto"/>
                <w:sz w:val="21"/>
                <w:szCs w:val="21"/>
              </w:rPr>
            </w:pPr>
            <w:r>
              <w:rPr>
                <w:color w:val="auto"/>
                <w:sz w:val="21"/>
                <w:szCs w:val="21"/>
              </w:rPr>
              <w:t>项目</w:t>
            </w:r>
          </w:p>
        </w:tc>
        <w:tc>
          <w:tcPr>
            <w:tcW w:w="4414" w:type="dxa"/>
            <w:vAlign w:val="center"/>
          </w:tcPr>
          <w:p>
            <w:pPr>
              <w:tabs>
                <w:tab w:val="left" w:pos="4821"/>
              </w:tabs>
              <w:spacing w:line="300" w:lineRule="auto"/>
              <w:contextualSpacing/>
              <w:jc w:val="center"/>
              <w:rPr>
                <w:color w:val="auto"/>
                <w:sz w:val="21"/>
                <w:szCs w:val="21"/>
              </w:rPr>
            </w:pPr>
            <w:r>
              <w:rPr>
                <w:color w:val="auto"/>
                <w:sz w:val="21"/>
                <w:szCs w:val="21"/>
              </w:rPr>
              <w:t>《水土保持法》要求</w:t>
            </w:r>
          </w:p>
        </w:tc>
        <w:tc>
          <w:tcPr>
            <w:tcW w:w="2036" w:type="dxa"/>
            <w:vAlign w:val="center"/>
          </w:tcPr>
          <w:p>
            <w:pPr>
              <w:tabs>
                <w:tab w:val="left" w:pos="4821"/>
              </w:tabs>
              <w:spacing w:line="300" w:lineRule="auto"/>
              <w:contextualSpacing/>
              <w:jc w:val="center"/>
              <w:rPr>
                <w:color w:val="auto"/>
                <w:sz w:val="21"/>
                <w:szCs w:val="21"/>
              </w:rPr>
            </w:pPr>
            <w:r>
              <w:rPr>
                <w:color w:val="auto"/>
                <w:sz w:val="21"/>
                <w:szCs w:val="21"/>
              </w:rPr>
              <w:t>本项目情况</w:t>
            </w:r>
          </w:p>
        </w:tc>
        <w:tc>
          <w:tcPr>
            <w:tcW w:w="1282" w:type="dxa"/>
            <w:vAlign w:val="center"/>
          </w:tcPr>
          <w:p>
            <w:pPr>
              <w:tabs>
                <w:tab w:val="left" w:pos="4821"/>
              </w:tabs>
              <w:spacing w:line="300" w:lineRule="auto"/>
              <w:contextualSpacing/>
              <w:jc w:val="center"/>
              <w:rPr>
                <w:color w:val="auto"/>
                <w:sz w:val="21"/>
                <w:szCs w:val="21"/>
              </w:rPr>
            </w:pPr>
            <w:r>
              <w:rPr>
                <w:color w:val="auto"/>
                <w:sz w:val="21"/>
                <w:szCs w:val="21"/>
              </w:rPr>
              <w:t>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2" w:type="dxa"/>
            <w:vMerge w:val="restart"/>
            <w:vAlign w:val="center"/>
          </w:tcPr>
          <w:p>
            <w:pPr>
              <w:snapToGrid w:val="0"/>
              <w:spacing w:line="300" w:lineRule="auto"/>
              <w:contextualSpacing/>
              <w:rPr>
                <w:color w:val="auto"/>
                <w:sz w:val="21"/>
                <w:szCs w:val="21"/>
              </w:rPr>
            </w:pPr>
            <w:r>
              <w:rPr>
                <w:color w:val="auto"/>
                <w:sz w:val="21"/>
                <w:szCs w:val="21"/>
              </w:rPr>
              <w:t>工程</w:t>
            </w:r>
          </w:p>
          <w:p>
            <w:pPr>
              <w:tabs>
                <w:tab w:val="left" w:pos="4821"/>
              </w:tabs>
              <w:snapToGrid w:val="0"/>
              <w:spacing w:line="300" w:lineRule="auto"/>
              <w:contextualSpacing/>
              <w:jc w:val="center"/>
              <w:rPr>
                <w:color w:val="auto"/>
                <w:sz w:val="21"/>
                <w:szCs w:val="21"/>
              </w:rPr>
            </w:pPr>
            <w:r>
              <w:rPr>
                <w:color w:val="auto"/>
                <w:sz w:val="21"/>
                <w:szCs w:val="21"/>
              </w:rPr>
              <w:t>选址</w:t>
            </w:r>
          </w:p>
        </w:tc>
        <w:tc>
          <w:tcPr>
            <w:tcW w:w="4414" w:type="dxa"/>
            <w:vAlign w:val="center"/>
          </w:tcPr>
          <w:p>
            <w:pPr>
              <w:tabs>
                <w:tab w:val="left" w:pos="4821"/>
              </w:tabs>
              <w:snapToGrid w:val="0"/>
              <w:spacing w:line="300" w:lineRule="auto"/>
              <w:contextualSpacing/>
              <w:rPr>
                <w:color w:val="auto"/>
                <w:sz w:val="21"/>
                <w:szCs w:val="21"/>
              </w:rPr>
            </w:pPr>
            <w:r>
              <w:rPr>
                <w:color w:val="auto"/>
                <w:sz w:val="21"/>
                <w:szCs w:val="21"/>
              </w:rPr>
              <w:t>第十八条 水土流失严重、生态脆弱的地区，应当限制或者禁止可能造成水土流失的生产建设活动，严格保护植物、沙壳、结皮、地衣等。</w:t>
            </w:r>
          </w:p>
        </w:tc>
        <w:tc>
          <w:tcPr>
            <w:tcW w:w="2036" w:type="dxa"/>
            <w:vAlign w:val="center"/>
          </w:tcPr>
          <w:p>
            <w:pPr>
              <w:snapToGrid w:val="0"/>
              <w:spacing w:line="300" w:lineRule="auto"/>
              <w:contextualSpacing/>
              <w:rPr>
                <w:color w:val="auto"/>
                <w:sz w:val="21"/>
                <w:szCs w:val="21"/>
              </w:rPr>
            </w:pPr>
            <w:r>
              <w:rPr>
                <w:color w:val="auto"/>
                <w:sz w:val="21"/>
                <w:szCs w:val="21"/>
              </w:rPr>
              <w:t>本项目不属于水土流失严重、生态脆弱的地区。</w:t>
            </w:r>
          </w:p>
        </w:tc>
        <w:tc>
          <w:tcPr>
            <w:tcW w:w="1282" w:type="dxa"/>
            <w:vAlign w:val="center"/>
          </w:tcPr>
          <w:p>
            <w:pPr>
              <w:snapToGrid w:val="0"/>
              <w:spacing w:line="300" w:lineRule="auto"/>
              <w:contextualSpacing/>
              <w:jc w:val="center"/>
              <w:rPr>
                <w:color w:val="auto"/>
                <w:sz w:val="21"/>
                <w:szCs w:val="21"/>
              </w:rPr>
            </w:pPr>
            <w:r>
              <w:rPr>
                <w:color w:val="auto"/>
                <w:sz w:val="21"/>
                <w:szCs w:val="21"/>
              </w:rPr>
              <w:t>符合本条规定要求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2" w:type="dxa"/>
            <w:vMerge w:val="continue"/>
            <w:vAlign w:val="center"/>
          </w:tcPr>
          <w:p>
            <w:pPr>
              <w:tabs>
                <w:tab w:val="left" w:pos="4821"/>
              </w:tabs>
              <w:snapToGrid w:val="0"/>
              <w:spacing w:line="300" w:lineRule="auto"/>
              <w:contextualSpacing/>
              <w:jc w:val="center"/>
              <w:rPr>
                <w:color w:val="auto"/>
                <w:sz w:val="21"/>
                <w:szCs w:val="21"/>
              </w:rPr>
            </w:pPr>
          </w:p>
        </w:tc>
        <w:tc>
          <w:tcPr>
            <w:tcW w:w="4414" w:type="dxa"/>
            <w:vAlign w:val="center"/>
          </w:tcPr>
          <w:p>
            <w:pPr>
              <w:tabs>
                <w:tab w:val="left" w:pos="4821"/>
              </w:tabs>
              <w:snapToGrid w:val="0"/>
              <w:spacing w:line="300" w:lineRule="auto"/>
              <w:contextualSpacing/>
              <w:rPr>
                <w:color w:val="auto"/>
                <w:sz w:val="21"/>
                <w:szCs w:val="21"/>
              </w:rPr>
            </w:pPr>
            <w:r>
              <w:rPr>
                <w:color w:val="auto"/>
                <w:sz w:val="21"/>
                <w:szCs w:val="21"/>
              </w:rPr>
              <w:t>第二十四条 生产建设项目选址、选线应当避让水土流失重点预防区和重点治理区；无法避让的，应当提高防治标准，优化施工工艺，减少地表扰动和植被损坏范围，有效控制可能造成的水土流失。</w:t>
            </w:r>
          </w:p>
        </w:tc>
        <w:tc>
          <w:tcPr>
            <w:tcW w:w="2036" w:type="dxa"/>
            <w:vAlign w:val="center"/>
          </w:tcPr>
          <w:p>
            <w:pPr>
              <w:snapToGrid w:val="0"/>
              <w:spacing w:line="300" w:lineRule="auto"/>
              <w:contextualSpacing/>
              <w:rPr>
                <w:color w:val="auto"/>
                <w:sz w:val="21"/>
                <w:szCs w:val="21"/>
              </w:rPr>
            </w:pPr>
            <w:r>
              <w:rPr>
                <w:color w:val="auto"/>
                <w:sz w:val="21"/>
                <w:szCs w:val="21"/>
              </w:rPr>
              <w:t>项目区属于</w:t>
            </w:r>
            <w:r>
              <w:rPr>
                <w:rFonts w:hint="eastAsia"/>
                <w:color w:val="auto"/>
                <w:sz w:val="21"/>
                <w:szCs w:val="21"/>
              </w:rPr>
              <w:t>国家</w:t>
            </w:r>
            <w:r>
              <w:rPr>
                <w:color w:val="auto"/>
                <w:sz w:val="21"/>
                <w:szCs w:val="21"/>
              </w:rPr>
              <w:t>级水土流失重点治理区，无法避让，本方案提高防治标准，优化施工工艺，有效控制可能造成的水土流失。</w:t>
            </w:r>
          </w:p>
        </w:tc>
        <w:tc>
          <w:tcPr>
            <w:tcW w:w="1282" w:type="dxa"/>
            <w:vAlign w:val="center"/>
          </w:tcPr>
          <w:p>
            <w:pPr>
              <w:snapToGrid w:val="0"/>
              <w:spacing w:line="300" w:lineRule="auto"/>
              <w:contextualSpacing/>
              <w:jc w:val="center"/>
              <w:rPr>
                <w:color w:val="auto"/>
                <w:sz w:val="21"/>
                <w:szCs w:val="21"/>
              </w:rPr>
            </w:pPr>
            <w:r>
              <w:rPr>
                <w:color w:val="auto"/>
                <w:sz w:val="21"/>
                <w:szCs w:val="21"/>
              </w:rPr>
              <w:t>基本符合本条规定要求</w:t>
            </w:r>
          </w:p>
        </w:tc>
      </w:tr>
    </w:tbl>
    <w:p>
      <w:pPr>
        <w:pStyle w:val="11"/>
        <w:adjustRightInd w:val="0"/>
        <w:snapToGrid w:val="0"/>
        <w:spacing w:after="0" w:line="300" w:lineRule="auto"/>
        <w:contextualSpacing/>
        <w:jc w:val="center"/>
        <w:rPr>
          <w:b/>
          <w:color w:val="auto"/>
          <w:sz w:val="24"/>
        </w:rPr>
      </w:pPr>
    </w:p>
    <w:p>
      <w:pPr>
        <w:pStyle w:val="11"/>
        <w:adjustRightInd w:val="0"/>
        <w:snapToGrid w:val="0"/>
        <w:spacing w:after="0" w:line="300" w:lineRule="auto"/>
        <w:contextualSpacing/>
        <w:jc w:val="center"/>
        <w:rPr>
          <w:b/>
          <w:color w:val="auto"/>
          <w:sz w:val="24"/>
        </w:rPr>
      </w:pPr>
      <w:r>
        <w:rPr>
          <w:b/>
          <w:color w:val="auto"/>
          <w:sz w:val="24"/>
        </w:rPr>
        <w:t>表3.1-2  与《生产建设项目水土保持技术标准》(GB50433-2018) 相符性评价</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717"/>
        <w:gridCol w:w="2660"/>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0" w:type="dxa"/>
            <w:vMerge w:val="restart"/>
            <w:shd w:val="clear" w:color="auto" w:fill="auto"/>
            <w:vAlign w:val="center"/>
          </w:tcPr>
          <w:p>
            <w:pPr>
              <w:spacing w:line="300" w:lineRule="auto"/>
              <w:contextualSpacing/>
              <w:jc w:val="center"/>
              <w:rPr>
                <w:color w:val="auto"/>
                <w:sz w:val="21"/>
                <w:szCs w:val="21"/>
              </w:rPr>
            </w:pPr>
            <w:r>
              <w:rPr>
                <w:color w:val="auto"/>
                <w:sz w:val="21"/>
                <w:szCs w:val="21"/>
              </w:rPr>
              <w:t>项目</w:t>
            </w:r>
          </w:p>
        </w:tc>
        <w:tc>
          <w:tcPr>
            <w:tcW w:w="3717" w:type="dxa"/>
            <w:vMerge w:val="restart"/>
            <w:shd w:val="clear" w:color="auto" w:fill="auto"/>
            <w:vAlign w:val="center"/>
          </w:tcPr>
          <w:p>
            <w:pPr>
              <w:tabs>
                <w:tab w:val="left" w:pos="4821"/>
              </w:tabs>
              <w:spacing w:line="300" w:lineRule="auto"/>
              <w:contextualSpacing/>
              <w:jc w:val="center"/>
              <w:rPr>
                <w:color w:val="auto"/>
                <w:sz w:val="21"/>
                <w:szCs w:val="21"/>
              </w:rPr>
            </w:pPr>
            <w:r>
              <w:rPr>
                <w:color w:val="auto"/>
                <w:sz w:val="21"/>
                <w:szCs w:val="21"/>
              </w:rPr>
              <w:t>规定情况</w:t>
            </w:r>
          </w:p>
        </w:tc>
        <w:tc>
          <w:tcPr>
            <w:tcW w:w="2660" w:type="dxa"/>
            <w:vMerge w:val="restart"/>
            <w:shd w:val="clear" w:color="auto" w:fill="auto"/>
            <w:vAlign w:val="center"/>
          </w:tcPr>
          <w:p>
            <w:pPr>
              <w:tabs>
                <w:tab w:val="left" w:pos="4821"/>
              </w:tabs>
              <w:spacing w:line="300" w:lineRule="auto"/>
              <w:contextualSpacing/>
              <w:jc w:val="center"/>
              <w:rPr>
                <w:color w:val="auto"/>
                <w:sz w:val="21"/>
                <w:szCs w:val="21"/>
              </w:rPr>
            </w:pPr>
            <w:r>
              <w:rPr>
                <w:color w:val="auto"/>
                <w:sz w:val="21"/>
                <w:szCs w:val="21"/>
              </w:rPr>
              <w:t>遵循情况</w:t>
            </w:r>
          </w:p>
        </w:tc>
        <w:tc>
          <w:tcPr>
            <w:tcW w:w="1435" w:type="dxa"/>
            <w:vMerge w:val="restart"/>
            <w:shd w:val="clear" w:color="auto" w:fill="auto"/>
            <w:vAlign w:val="center"/>
          </w:tcPr>
          <w:p>
            <w:pPr>
              <w:tabs>
                <w:tab w:val="left" w:pos="4821"/>
              </w:tabs>
              <w:spacing w:line="300" w:lineRule="auto"/>
              <w:contextualSpacing/>
              <w:jc w:val="center"/>
              <w:rPr>
                <w:color w:val="auto"/>
                <w:sz w:val="21"/>
                <w:szCs w:val="21"/>
              </w:rPr>
            </w:pPr>
            <w:r>
              <w:rPr>
                <w:color w:val="auto"/>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pStyle w:val="49"/>
              <w:adjustRightInd w:val="0"/>
              <w:snapToGrid w:val="0"/>
              <w:spacing w:line="300" w:lineRule="auto"/>
              <w:contextualSpacing/>
              <w:rPr>
                <w:rFonts w:eastAsia="仿宋_GB2312"/>
                <w:color w:val="auto"/>
                <w:sz w:val="21"/>
                <w:szCs w:val="21"/>
              </w:rPr>
            </w:pPr>
          </w:p>
        </w:tc>
        <w:tc>
          <w:tcPr>
            <w:tcW w:w="3717" w:type="dxa"/>
            <w:vMerge w:val="continue"/>
            <w:vAlign w:val="center"/>
          </w:tcPr>
          <w:p>
            <w:pPr>
              <w:pStyle w:val="49"/>
              <w:adjustRightInd w:val="0"/>
              <w:snapToGrid w:val="0"/>
              <w:spacing w:line="300" w:lineRule="auto"/>
              <w:contextualSpacing/>
              <w:rPr>
                <w:rFonts w:eastAsia="仿宋_GB2312"/>
                <w:color w:val="auto"/>
                <w:sz w:val="21"/>
                <w:szCs w:val="21"/>
              </w:rPr>
            </w:pPr>
          </w:p>
        </w:tc>
        <w:tc>
          <w:tcPr>
            <w:tcW w:w="2660" w:type="dxa"/>
            <w:vMerge w:val="continue"/>
            <w:vAlign w:val="center"/>
          </w:tcPr>
          <w:p>
            <w:pPr>
              <w:pStyle w:val="49"/>
              <w:adjustRightInd w:val="0"/>
              <w:snapToGrid w:val="0"/>
              <w:spacing w:line="300" w:lineRule="auto"/>
              <w:contextualSpacing/>
              <w:rPr>
                <w:rFonts w:eastAsia="仿宋_GB2312"/>
                <w:color w:val="auto"/>
                <w:sz w:val="21"/>
                <w:szCs w:val="21"/>
              </w:rPr>
            </w:pPr>
          </w:p>
        </w:tc>
        <w:tc>
          <w:tcPr>
            <w:tcW w:w="1435" w:type="dxa"/>
            <w:vMerge w:val="continue"/>
            <w:vAlign w:val="center"/>
          </w:tcPr>
          <w:p>
            <w:pPr>
              <w:pStyle w:val="49"/>
              <w:adjustRightInd w:val="0"/>
              <w:snapToGrid w:val="0"/>
              <w:spacing w:line="300" w:lineRule="auto"/>
              <w:contextualSpacing/>
              <w:rPr>
                <w:rFonts w:eastAsia="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710" w:type="dxa"/>
            <w:vMerge w:val="restart"/>
            <w:shd w:val="clear" w:color="auto" w:fill="auto"/>
            <w:vAlign w:val="center"/>
          </w:tcPr>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工程</w:t>
            </w:r>
          </w:p>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选址</w:t>
            </w:r>
          </w:p>
        </w:tc>
        <w:tc>
          <w:tcPr>
            <w:tcW w:w="3717" w:type="dxa"/>
            <w:shd w:val="clear" w:color="auto" w:fill="auto"/>
            <w:vAlign w:val="center"/>
          </w:tcPr>
          <w:p>
            <w:pPr>
              <w:pStyle w:val="49"/>
              <w:adjustRightInd w:val="0"/>
              <w:snapToGrid w:val="0"/>
              <w:spacing w:line="300" w:lineRule="auto"/>
              <w:contextualSpacing/>
              <w:jc w:val="left"/>
              <w:rPr>
                <w:rFonts w:eastAsia="仿宋_GB2312"/>
                <w:color w:val="auto"/>
                <w:sz w:val="21"/>
                <w:szCs w:val="21"/>
              </w:rPr>
            </w:pPr>
            <w:r>
              <w:rPr>
                <w:rFonts w:eastAsia="仿宋_GB2312"/>
                <w:color w:val="auto"/>
                <w:sz w:val="21"/>
                <w:szCs w:val="21"/>
              </w:rPr>
              <w:t>选址（线）应避开水土流失重点预防区和重点治理区。</w:t>
            </w:r>
          </w:p>
        </w:tc>
        <w:tc>
          <w:tcPr>
            <w:tcW w:w="2660" w:type="dxa"/>
            <w:shd w:val="clear" w:color="auto" w:fill="auto"/>
            <w:vAlign w:val="center"/>
          </w:tcPr>
          <w:p>
            <w:pPr>
              <w:autoSpaceDE w:val="0"/>
              <w:autoSpaceDN w:val="0"/>
              <w:adjustRightInd w:val="0"/>
              <w:contextualSpacing/>
              <w:rPr>
                <w:color w:val="auto"/>
                <w:kern w:val="0"/>
                <w:sz w:val="21"/>
                <w:szCs w:val="21"/>
              </w:rPr>
            </w:pPr>
            <w:r>
              <w:rPr>
                <w:color w:val="auto"/>
                <w:kern w:val="0"/>
                <w:sz w:val="21"/>
                <w:szCs w:val="21"/>
              </w:rPr>
              <w:t>项目区位于国家级水土流失重点治理区</w:t>
            </w:r>
            <w:r>
              <w:rPr>
                <w:rFonts w:hint="eastAsia"/>
                <w:color w:val="auto"/>
                <w:kern w:val="0"/>
                <w:sz w:val="21"/>
                <w:szCs w:val="21"/>
              </w:rPr>
              <w:t>，</w:t>
            </w:r>
            <w:r>
              <w:rPr>
                <w:color w:val="auto"/>
                <w:kern w:val="0"/>
                <w:sz w:val="21"/>
                <w:szCs w:val="21"/>
              </w:rPr>
              <w:t>要求工程优化施工组织设计减少动用土石方总量；减少地表扰动和植被损坏范围，有效控制</w:t>
            </w:r>
          </w:p>
          <w:p>
            <w:pPr>
              <w:pStyle w:val="49"/>
              <w:adjustRightInd w:val="0"/>
              <w:snapToGrid w:val="0"/>
              <w:spacing w:line="300" w:lineRule="auto"/>
              <w:contextualSpacing/>
              <w:jc w:val="both"/>
              <w:rPr>
                <w:rFonts w:eastAsia="仿宋_GB2312"/>
                <w:color w:val="auto"/>
                <w:sz w:val="21"/>
                <w:szCs w:val="21"/>
              </w:rPr>
            </w:pPr>
            <w:r>
              <w:rPr>
                <w:rFonts w:eastAsia="仿宋_GB2312"/>
                <w:color w:val="auto"/>
                <w:sz w:val="21"/>
                <w:szCs w:val="21"/>
              </w:rPr>
              <w:t>可能造成的水土流失。</w:t>
            </w:r>
          </w:p>
        </w:tc>
        <w:tc>
          <w:tcPr>
            <w:tcW w:w="1435" w:type="dxa"/>
            <w:shd w:val="clear" w:color="auto" w:fill="auto"/>
            <w:vAlign w:val="center"/>
          </w:tcPr>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符合</w:t>
            </w:r>
          </w:p>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10" w:type="dxa"/>
            <w:vMerge w:val="continue"/>
            <w:vAlign w:val="center"/>
          </w:tcPr>
          <w:p>
            <w:pPr>
              <w:pStyle w:val="49"/>
              <w:adjustRightInd w:val="0"/>
              <w:snapToGrid w:val="0"/>
              <w:spacing w:line="300" w:lineRule="auto"/>
              <w:contextualSpacing/>
              <w:rPr>
                <w:rFonts w:eastAsia="仿宋_GB2312"/>
                <w:color w:val="auto"/>
                <w:sz w:val="21"/>
                <w:szCs w:val="21"/>
              </w:rPr>
            </w:pPr>
          </w:p>
        </w:tc>
        <w:tc>
          <w:tcPr>
            <w:tcW w:w="3717" w:type="dxa"/>
            <w:shd w:val="clear" w:color="auto" w:fill="auto"/>
            <w:vAlign w:val="center"/>
          </w:tcPr>
          <w:p>
            <w:pPr>
              <w:pStyle w:val="49"/>
              <w:adjustRightInd w:val="0"/>
              <w:snapToGrid w:val="0"/>
              <w:spacing w:line="300" w:lineRule="auto"/>
              <w:contextualSpacing/>
              <w:jc w:val="left"/>
              <w:rPr>
                <w:rFonts w:eastAsia="仿宋_GB2312"/>
                <w:color w:val="auto"/>
                <w:sz w:val="21"/>
                <w:szCs w:val="21"/>
              </w:rPr>
            </w:pPr>
            <w:r>
              <w:rPr>
                <w:rFonts w:eastAsia="仿宋_GB2312"/>
                <w:color w:val="auto"/>
                <w:sz w:val="21"/>
                <w:szCs w:val="21"/>
              </w:rPr>
              <w:t>选址（线）应避开河流两岸、湖泊和水库周边的植物保护带。</w:t>
            </w:r>
          </w:p>
        </w:tc>
        <w:tc>
          <w:tcPr>
            <w:tcW w:w="2660" w:type="dxa"/>
            <w:shd w:val="clear" w:color="auto" w:fill="auto"/>
            <w:vAlign w:val="center"/>
          </w:tcPr>
          <w:p>
            <w:pPr>
              <w:pStyle w:val="49"/>
              <w:adjustRightInd w:val="0"/>
              <w:snapToGrid w:val="0"/>
              <w:spacing w:line="300" w:lineRule="auto"/>
              <w:contextualSpacing/>
              <w:jc w:val="left"/>
              <w:rPr>
                <w:rFonts w:eastAsia="仿宋_GB2312"/>
                <w:color w:val="auto"/>
                <w:sz w:val="21"/>
                <w:szCs w:val="21"/>
              </w:rPr>
            </w:pPr>
            <w:r>
              <w:rPr>
                <w:rFonts w:eastAsia="仿宋_GB2312"/>
                <w:color w:val="auto"/>
                <w:sz w:val="21"/>
                <w:szCs w:val="21"/>
              </w:rPr>
              <w:t>选址避开了河流两岸、湖泊和水库周边的植物保护带。</w:t>
            </w:r>
          </w:p>
        </w:tc>
        <w:tc>
          <w:tcPr>
            <w:tcW w:w="1435" w:type="dxa"/>
            <w:shd w:val="clear" w:color="auto" w:fill="auto"/>
            <w:vAlign w:val="center"/>
          </w:tcPr>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符合</w:t>
            </w:r>
          </w:p>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710" w:type="dxa"/>
            <w:vMerge w:val="continue"/>
            <w:vAlign w:val="center"/>
          </w:tcPr>
          <w:p>
            <w:pPr>
              <w:pStyle w:val="49"/>
              <w:adjustRightInd w:val="0"/>
              <w:snapToGrid w:val="0"/>
              <w:spacing w:line="300" w:lineRule="auto"/>
              <w:contextualSpacing/>
              <w:rPr>
                <w:rFonts w:eastAsia="仿宋_GB2312"/>
                <w:color w:val="auto"/>
                <w:sz w:val="21"/>
                <w:szCs w:val="21"/>
              </w:rPr>
            </w:pPr>
          </w:p>
        </w:tc>
        <w:tc>
          <w:tcPr>
            <w:tcW w:w="3717" w:type="dxa"/>
            <w:shd w:val="clear" w:color="auto" w:fill="auto"/>
            <w:vAlign w:val="center"/>
          </w:tcPr>
          <w:p>
            <w:pPr>
              <w:pStyle w:val="49"/>
              <w:adjustRightInd w:val="0"/>
              <w:snapToGrid w:val="0"/>
              <w:spacing w:line="300" w:lineRule="auto"/>
              <w:contextualSpacing/>
              <w:jc w:val="left"/>
              <w:rPr>
                <w:rFonts w:eastAsia="仿宋_GB2312"/>
                <w:color w:val="auto"/>
                <w:sz w:val="21"/>
                <w:szCs w:val="21"/>
              </w:rPr>
            </w:pPr>
            <w:r>
              <w:rPr>
                <w:rFonts w:eastAsia="仿宋_GB2312"/>
                <w:color w:val="auto"/>
                <w:sz w:val="21"/>
                <w:szCs w:val="21"/>
              </w:rPr>
              <w:t>选址（线）应避开全国水土保持监测网络中的水土保持监测站点、重点试验区及国家确定的水土保持长期定位观测站。</w:t>
            </w:r>
          </w:p>
        </w:tc>
        <w:tc>
          <w:tcPr>
            <w:tcW w:w="2660" w:type="dxa"/>
            <w:shd w:val="clear" w:color="auto" w:fill="auto"/>
            <w:vAlign w:val="center"/>
          </w:tcPr>
          <w:p>
            <w:pPr>
              <w:pStyle w:val="49"/>
              <w:adjustRightInd w:val="0"/>
              <w:snapToGrid w:val="0"/>
              <w:spacing w:line="300" w:lineRule="auto"/>
              <w:contextualSpacing/>
              <w:jc w:val="left"/>
              <w:rPr>
                <w:rFonts w:eastAsia="仿宋_GB2312"/>
                <w:color w:val="auto"/>
                <w:sz w:val="21"/>
                <w:szCs w:val="21"/>
              </w:rPr>
            </w:pPr>
            <w:r>
              <w:rPr>
                <w:rFonts w:eastAsia="仿宋_GB2312"/>
                <w:color w:val="auto"/>
                <w:sz w:val="21"/>
                <w:szCs w:val="21"/>
              </w:rPr>
              <w:t>选址避开了全国水土保持监测网络中的水土保持监测站点、重点实验区，不占用国家确定的水土保持长期定位观测站。</w:t>
            </w:r>
          </w:p>
        </w:tc>
        <w:tc>
          <w:tcPr>
            <w:tcW w:w="1435" w:type="dxa"/>
            <w:shd w:val="clear" w:color="auto" w:fill="auto"/>
            <w:vAlign w:val="center"/>
          </w:tcPr>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符合</w:t>
            </w:r>
          </w:p>
          <w:p>
            <w:pPr>
              <w:pStyle w:val="49"/>
              <w:adjustRightInd w:val="0"/>
              <w:snapToGrid w:val="0"/>
              <w:spacing w:line="300" w:lineRule="auto"/>
              <w:contextualSpacing/>
              <w:rPr>
                <w:rFonts w:eastAsia="仿宋_GB2312"/>
                <w:color w:val="auto"/>
                <w:sz w:val="21"/>
                <w:szCs w:val="21"/>
              </w:rPr>
            </w:pPr>
            <w:r>
              <w:rPr>
                <w:rFonts w:eastAsia="仿宋_GB2312"/>
                <w:color w:val="auto"/>
                <w:sz w:val="21"/>
                <w:szCs w:val="21"/>
              </w:rPr>
              <w:t>规定</w:t>
            </w:r>
          </w:p>
        </w:tc>
      </w:tr>
    </w:tbl>
    <w:p>
      <w:pPr>
        <w:spacing w:line="360" w:lineRule="auto"/>
        <w:ind w:firstLine="480" w:firstLineChars="200"/>
        <w:contextualSpacing/>
        <w:rPr>
          <w:color w:val="auto"/>
          <w:sz w:val="24"/>
        </w:rPr>
      </w:pPr>
      <w:r>
        <w:rPr>
          <w:color w:val="auto"/>
          <w:sz w:val="24"/>
        </w:rPr>
        <w:t>本工程不涉及河流两岸、湖泊和水库周边的植物保护带；不涉及全国水土保持监测网络中的水土保持监测站点、重点试验区及国家确定的水土保持长期定位观测点；不位于水土流失严重、生态脆弱地区。本项目选址无法避让</w:t>
      </w:r>
      <w:r>
        <w:rPr>
          <w:rFonts w:hint="eastAsia"/>
          <w:color w:val="auto"/>
          <w:sz w:val="24"/>
        </w:rPr>
        <w:t>国家级</w:t>
      </w:r>
      <w:r>
        <w:rPr>
          <w:color w:val="auto"/>
          <w:sz w:val="24"/>
        </w:rPr>
        <w:t>水土流失重点治理区，通过加强工程施工管理、优化施工工艺和时序，减少项目建设可能产生的水土流失。因此，从水土保持角度评价认为本项目选址合理，符合水土保持要求。</w:t>
      </w:r>
    </w:p>
    <w:p>
      <w:pPr>
        <w:spacing w:line="360" w:lineRule="auto"/>
        <w:contextualSpacing/>
        <w:outlineLvl w:val="1"/>
        <w:rPr>
          <w:b/>
          <w:bCs/>
          <w:color w:val="auto"/>
          <w:sz w:val="30"/>
          <w:szCs w:val="30"/>
        </w:rPr>
      </w:pPr>
      <w:bookmarkStart w:id="90" w:name="_Toc522647721"/>
      <w:bookmarkStart w:id="91" w:name="_Toc521945630"/>
      <w:bookmarkStart w:id="92" w:name="_Toc145530056"/>
      <w:r>
        <w:rPr>
          <w:b/>
          <w:bCs/>
          <w:color w:val="auto"/>
          <w:sz w:val="30"/>
          <w:szCs w:val="30"/>
        </w:rPr>
        <w:t>3.2</w:t>
      </w:r>
      <w:bookmarkEnd w:id="90"/>
      <w:bookmarkEnd w:id="91"/>
      <w:r>
        <w:rPr>
          <w:b/>
          <w:bCs/>
          <w:color w:val="auto"/>
          <w:sz w:val="30"/>
          <w:szCs w:val="30"/>
        </w:rPr>
        <w:t>建设方案与布局水土保持评价</w:t>
      </w:r>
      <w:bookmarkEnd w:id="92"/>
    </w:p>
    <w:p>
      <w:pPr>
        <w:spacing w:line="360" w:lineRule="auto"/>
        <w:contextualSpacing/>
        <w:outlineLvl w:val="2"/>
        <w:rPr>
          <w:b/>
          <w:bCs/>
          <w:color w:val="auto"/>
          <w:sz w:val="28"/>
          <w:szCs w:val="28"/>
        </w:rPr>
      </w:pPr>
      <w:bookmarkStart w:id="93" w:name="_Toc521945631"/>
      <w:r>
        <w:rPr>
          <w:b/>
          <w:bCs/>
          <w:color w:val="auto"/>
          <w:sz w:val="28"/>
          <w:szCs w:val="28"/>
        </w:rPr>
        <w:t>3.2.1建设方案评价</w:t>
      </w:r>
    </w:p>
    <w:p>
      <w:pPr>
        <w:spacing w:line="360" w:lineRule="auto"/>
        <w:ind w:firstLine="480" w:firstLineChars="200"/>
        <w:contextualSpacing/>
        <w:rPr>
          <w:color w:val="auto"/>
          <w:sz w:val="24"/>
        </w:rPr>
      </w:pPr>
      <w:r>
        <w:rPr>
          <w:color w:val="auto"/>
          <w:sz w:val="24"/>
        </w:rPr>
        <w:t>本项目位于</w:t>
      </w:r>
      <w:r>
        <w:rPr>
          <w:rFonts w:hint="eastAsia"/>
          <w:color w:val="auto"/>
          <w:sz w:val="24"/>
        </w:rPr>
        <w:t>鸡西市麻山区</w:t>
      </w:r>
      <w:r>
        <w:rPr>
          <w:color w:val="auto"/>
          <w:sz w:val="24"/>
        </w:rPr>
        <w:t>，属于</w:t>
      </w:r>
      <w:r>
        <w:rPr>
          <w:rFonts w:hint="eastAsia"/>
          <w:color w:val="auto"/>
          <w:sz w:val="24"/>
        </w:rPr>
        <w:t>改扩建</w:t>
      </w:r>
      <w:r>
        <w:rPr>
          <w:color w:val="auto"/>
          <w:sz w:val="24"/>
        </w:rPr>
        <w:t>建建设类项目，项目周</w:t>
      </w:r>
      <w:r>
        <w:rPr>
          <w:rFonts w:hint="eastAsia"/>
          <w:color w:val="auto"/>
          <w:sz w:val="24"/>
        </w:rPr>
        <w:t>边</w:t>
      </w:r>
      <w:r>
        <w:rPr>
          <w:color w:val="auto"/>
          <w:sz w:val="24"/>
        </w:rPr>
        <w:t>交通便利，建设期间</w:t>
      </w:r>
      <w:r>
        <w:rPr>
          <w:rFonts w:hint="eastAsia"/>
          <w:color w:val="auto"/>
          <w:sz w:val="24"/>
        </w:rPr>
        <w:t>东侧园区规划三路</w:t>
      </w:r>
      <w:r>
        <w:rPr>
          <w:color w:val="auto"/>
          <w:sz w:val="24"/>
        </w:rPr>
        <w:t>进入场地，减少了新建道路占地及投资；建构筑物之间布局相对紧凑，总平面规划在满足施工要求的前提下尽可能减少土地占用节约土地资源；本项目配套设施（供排水系统、供暖、供电）均从</w:t>
      </w:r>
      <w:r>
        <w:rPr>
          <w:rFonts w:hint="eastAsia"/>
          <w:color w:val="auto"/>
          <w:sz w:val="24"/>
        </w:rPr>
        <w:t>园区内</w:t>
      </w:r>
      <w:r>
        <w:rPr>
          <w:color w:val="auto"/>
          <w:sz w:val="24"/>
        </w:rPr>
        <w:t>接引，无须新建，减少了新建设施对地表的扰动；本次建设内容均在征地范围内，占地类型简单，严格控制永久占地面积。主体工程合理、有序地利用和调配土石方资源，填方全部利用开挖方。</w:t>
      </w:r>
    </w:p>
    <w:p>
      <w:pPr>
        <w:spacing w:line="360" w:lineRule="auto"/>
        <w:ind w:firstLine="480" w:firstLineChars="200"/>
        <w:contextualSpacing/>
        <w:rPr>
          <w:color w:val="auto"/>
          <w:sz w:val="24"/>
        </w:rPr>
      </w:pPr>
      <w:r>
        <w:rPr>
          <w:color w:val="auto"/>
          <w:sz w:val="24"/>
        </w:rPr>
        <w:t>综上所述，项目建设充分考虑了少占地、少扰动、少破坏地表植被的水土保持要求，尽可能减少由于工程建设引起的水土流失。因此，本项目在工程建设方案与布局方面满足水土保持要求。</w:t>
      </w:r>
    </w:p>
    <w:p>
      <w:pPr>
        <w:spacing w:line="360" w:lineRule="auto"/>
        <w:contextualSpacing/>
        <w:outlineLvl w:val="2"/>
        <w:rPr>
          <w:b/>
          <w:bCs/>
          <w:color w:val="auto"/>
          <w:sz w:val="28"/>
          <w:szCs w:val="28"/>
        </w:rPr>
      </w:pPr>
      <w:r>
        <w:rPr>
          <w:b/>
          <w:bCs/>
          <w:color w:val="auto"/>
          <w:sz w:val="28"/>
          <w:szCs w:val="28"/>
        </w:rPr>
        <w:t>3.2.2 工程占地评价</w:t>
      </w:r>
      <w:bookmarkEnd w:id="93"/>
    </w:p>
    <w:p>
      <w:pPr>
        <w:spacing w:line="360" w:lineRule="auto"/>
        <w:ind w:firstLine="480" w:firstLineChars="200"/>
        <w:contextualSpacing/>
        <w:rPr>
          <w:color w:val="auto"/>
          <w:sz w:val="24"/>
        </w:rPr>
      </w:pPr>
      <w:r>
        <w:rPr>
          <w:color w:val="auto"/>
          <w:sz w:val="24"/>
        </w:rPr>
        <w:t>（1）占地面积</w:t>
      </w:r>
      <w:r>
        <w:rPr>
          <w:rFonts w:hint="eastAsia"/>
          <w:color w:val="auto"/>
          <w:sz w:val="24"/>
        </w:rPr>
        <w:t>、性质</w:t>
      </w:r>
      <w:r>
        <w:rPr>
          <w:color w:val="auto"/>
          <w:sz w:val="24"/>
        </w:rPr>
        <w:t>评价</w:t>
      </w:r>
    </w:p>
    <w:p>
      <w:pPr>
        <w:spacing w:line="360" w:lineRule="auto"/>
        <w:ind w:firstLine="480" w:firstLineChars="200"/>
        <w:contextualSpacing/>
        <w:rPr>
          <w:color w:val="auto"/>
          <w:sz w:val="24"/>
        </w:rPr>
      </w:pPr>
      <w:r>
        <w:rPr>
          <w:color w:val="auto"/>
          <w:sz w:val="24"/>
        </w:rPr>
        <w:t>项目总占地面积为</w:t>
      </w:r>
      <w:r>
        <w:rPr>
          <w:rFonts w:hint="eastAsia"/>
          <w:color w:val="auto"/>
          <w:sz w:val="24"/>
        </w:rPr>
        <w:t>4</w:t>
      </w:r>
      <w:r>
        <w:rPr>
          <w:color w:val="auto"/>
          <w:sz w:val="24"/>
        </w:rPr>
        <w:t>.19hm</w:t>
      </w:r>
      <w:r>
        <w:rPr>
          <w:color w:val="auto"/>
          <w:sz w:val="24"/>
          <w:vertAlign w:val="superscript"/>
        </w:rPr>
        <w:t>2</w:t>
      </w:r>
      <w:r>
        <w:rPr>
          <w:color w:val="auto"/>
          <w:sz w:val="24"/>
        </w:rPr>
        <w:t>，包括建构筑物区、道路</w:t>
      </w:r>
      <w:r>
        <w:rPr>
          <w:rFonts w:hint="eastAsia"/>
          <w:color w:val="auto"/>
          <w:sz w:val="24"/>
        </w:rPr>
        <w:t>地面</w:t>
      </w:r>
      <w:r>
        <w:rPr>
          <w:color w:val="auto"/>
          <w:sz w:val="24"/>
        </w:rPr>
        <w:t>硬化</w:t>
      </w:r>
      <w:r>
        <w:rPr>
          <w:rFonts w:hint="eastAsia"/>
          <w:color w:val="auto"/>
          <w:sz w:val="24"/>
        </w:rPr>
        <w:t>区、绿化区、工业园区管网区和施工生产区</w:t>
      </w:r>
      <w:r>
        <w:rPr>
          <w:color w:val="auto"/>
          <w:sz w:val="24"/>
        </w:rPr>
        <w:t>，其中：建构筑物区占地面积为0.82hm</w:t>
      </w:r>
      <w:r>
        <w:rPr>
          <w:color w:val="auto"/>
          <w:sz w:val="24"/>
          <w:vertAlign w:val="superscript"/>
        </w:rPr>
        <w:t>2</w:t>
      </w:r>
      <w:r>
        <w:rPr>
          <w:color w:val="auto"/>
          <w:sz w:val="24"/>
        </w:rPr>
        <w:t>，道路硬化区占地面积为0.58hm</w:t>
      </w:r>
      <w:r>
        <w:rPr>
          <w:color w:val="auto"/>
          <w:sz w:val="24"/>
          <w:vertAlign w:val="superscript"/>
        </w:rPr>
        <w:t>2</w:t>
      </w:r>
      <w:r>
        <w:rPr>
          <w:rFonts w:hint="eastAsia"/>
          <w:color w:val="auto"/>
          <w:sz w:val="24"/>
        </w:rPr>
        <w:t>，绿化区面积</w:t>
      </w:r>
      <w:r>
        <w:rPr>
          <w:color w:val="auto"/>
          <w:sz w:val="24"/>
        </w:rPr>
        <w:t>1.60hm</w:t>
      </w:r>
      <w:r>
        <w:rPr>
          <w:color w:val="auto"/>
          <w:sz w:val="24"/>
          <w:vertAlign w:val="superscript"/>
        </w:rPr>
        <w:t>2</w:t>
      </w:r>
      <w:r>
        <w:rPr>
          <w:rFonts w:hint="eastAsia"/>
          <w:color w:val="auto"/>
          <w:sz w:val="24"/>
        </w:rPr>
        <w:t>，为永久占地；</w:t>
      </w:r>
      <w:r>
        <w:rPr>
          <w:color w:val="auto"/>
          <w:sz w:val="24"/>
        </w:rPr>
        <w:t>施工生产区0.10hm</w:t>
      </w:r>
      <w:r>
        <w:rPr>
          <w:color w:val="auto"/>
          <w:sz w:val="24"/>
          <w:vertAlign w:val="superscript"/>
        </w:rPr>
        <w:t>2</w:t>
      </w:r>
      <w:r>
        <w:rPr>
          <w:color w:val="auto"/>
          <w:sz w:val="24"/>
        </w:rPr>
        <w:t>，</w:t>
      </w:r>
      <w:r>
        <w:rPr>
          <w:rFonts w:hint="eastAsia"/>
          <w:color w:val="auto"/>
          <w:sz w:val="24"/>
        </w:rPr>
        <w:t>占用</w:t>
      </w:r>
      <w:r>
        <w:rPr>
          <w:color w:val="auto"/>
          <w:sz w:val="24"/>
        </w:rPr>
        <w:t>道路</w:t>
      </w:r>
      <w:r>
        <w:rPr>
          <w:rFonts w:hint="eastAsia"/>
          <w:color w:val="auto"/>
          <w:sz w:val="24"/>
        </w:rPr>
        <w:t>地面</w:t>
      </w:r>
      <w:r>
        <w:rPr>
          <w:color w:val="auto"/>
          <w:sz w:val="24"/>
        </w:rPr>
        <w:t>硬化区</w:t>
      </w:r>
      <w:r>
        <w:rPr>
          <w:rFonts w:hint="eastAsia"/>
          <w:color w:val="auto"/>
          <w:sz w:val="24"/>
        </w:rPr>
        <w:t>和</w:t>
      </w:r>
      <w:r>
        <w:rPr>
          <w:color w:val="auto"/>
          <w:sz w:val="24"/>
        </w:rPr>
        <w:t>绿化区</w:t>
      </w:r>
      <w:r>
        <w:rPr>
          <w:rFonts w:hint="eastAsia"/>
          <w:color w:val="auto"/>
          <w:sz w:val="24"/>
        </w:rPr>
        <w:t>，为重复占地</w:t>
      </w:r>
      <w:r>
        <w:rPr>
          <w:color w:val="auto"/>
          <w:sz w:val="24"/>
        </w:rPr>
        <w:t>，未新征占地</w:t>
      </w:r>
      <w:r>
        <w:rPr>
          <w:rFonts w:hint="eastAsia"/>
          <w:color w:val="auto"/>
          <w:sz w:val="24"/>
        </w:rPr>
        <w:t>；工业园区管网区占地面积1</w:t>
      </w:r>
      <w:r>
        <w:rPr>
          <w:color w:val="auto"/>
          <w:sz w:val="24"/>
        </w:rPr>
        <w:t>.19hm</w:t>
      </w:r>
      <w:r>
        <w:rPr>
          <w:color w:val="auto"/>
          <w:sz w:val="24"/>
          <w:vertAlign w:val="superscript"/>
        </w:rPr>
        <w:t>2</w:t>
      </w:r>
      <w:r>
        <w:rPr>
          <w:color w:val="auto"/>
          <w:sz w:val="24"/>
        </w:rPr>
        <w:t>，</w:t>
      </w:r>
      <w:r>
        <w:rPr>
          <w:rFonts w:hint="eastAsia"/>
          <w:color w:val="auto"/>
          <w:sz w:val="24"/>
        </w:rPr>
        <w:t>为临时占地，施工结束后对扰动区域进行修复。</w:t>
      </w:r>
    </w:p>
    <w:p>
      <w:pPr>
        <w:spacing w:line="360" w:lineRule="auto"/>
        <w:ind w:firstLine="480" w:firstLineChars="200"/>
        <w:contextualSpacing/>
        <w:rPr>
          <w:color w:val="auto"/>
          <w:sz w:val="24"/>
        </w:rPr>
      </w:pPr>
      <w:r>
        <w:rPr>
          <w:color w:val="auto"/>
          <w:sz w:val="24"/>
        </w:rPr>
        <w:t>工程占地面积</w:t>
      </w:r>
      <w:r>
        <w:rPr>
          <w:rFonts w:hint="eastAsia"/>
          <w:color w:val="auto"/>
          <w:sz w:val="24"/>
        </w:rPr>
        <w:t>4</w:t>
      </w:r>
      <w:r>
        <w:rPr>
          <w:color w:val="auto"/>
          <w:sz w:val="24"/>
        </w:rPr>
        <w:t>.19hm</w:t>
      </w:r>
      <w:r>
        <w:rPr>
          <w:color w:val="auto"/>
          <w:sz w:val="24"/>
          <w:vertAlign w:val="superscript"/>
        </w:rPr>
        <w:t>2</w:t>
      </w:r>
      <w:r>
        <w:rPr>
          <w:color w:val="auto"/>
          <w:sz w:val="24"/>
        </w:rPr>
        <w:t>，与</w:t>
      </w:r>
      <w:r>
        <w:rPr>
          <w:rFonts w:hint="eastAsia"/>
          <w:color w:val="auto"/>
          <w:sz w:val="24"/>
        </w:rPr>
        <w:t>建设用地规划许可证</w:t>
      </w:r>
      <w:r>
        <w:rPr>
          <w:color w:val="auto"/>
          <w:sz w:val="24"/>
        </w:rPr>
        <w:t>一致。综上，方案认为，本项目建构筑物布局合理，占地面积合理，征地原则基本正确</w:t>
      </w:r>
      <w:r>
        <w:rPr>
          <w:rFonts w:hint="eastAsia"/>
          <w:color w:val="auto"/>
          <w:sz w:val="24"/>
        </w:rPr>
        <w:t>。</w:t>
      </w:r>
      <w:r>
        <w:rPr>
          <w:color w:val="auto"/>
          <w:sz w:val="24"/>
        </w:rPr>
        <w:t>施工生产区在征地范围内，无新征占地，节约土地资源</w:t>
      </w:r>
      <w:r>
        <w:rPr>
          <w:rFonts w:hint="eastAsia"/>
          <w:color w:val="auto"/>
          <w:sz w:val="24"/>
        </w:rPr>
        <w:t>；工业园区管网区临时占地面积1</w:t>
      </w:r>
      <w:r>
        <w:rPr>
          <w:color w:val="auto"/>
          <w:sz w:val="24"/>
        </w:rPr>
        <w:t>.19hm</w:t>
      </w:r>
      <w:r>
        <w:rPr>
          <w:color w:val="auto"/>
          <w:sz w:val="24"/>
          <w:vertAlign w:val="superscript"/>
        </w:rPr>
        <w:t>2</w:t>
      </w:r>
      <w:r>
        <w:rPr>
          <w:color w:val="auto"/>
          <w:sz w:val="24"/>
        </w:rPr>
        <w:t>，</w:t>
      </w:r>
      <w:r>
        <w:rPr>
          <w:rFonts w:hint="eastAsia"/>
          <w:color w:val="auto"/>
          <w:sz w:val="24"/>
        </w:rPr>
        <w:t>施工结束后对扰动区域进行修复，</w:t>
      </w:r>
      <w:r>
        <w:rPr>
          <w:color w:val="auto"/>
          <w:sz w:val="24"/>
        </w:rPr>
        <w:t>符合水土保持技术要求。</w:t>
      </w:r>
    </w:p>
    <w:p>
      <w:pPr>
        <w:spacing w:line="360" w:lineRule="auto"/>
        <w:ind w:firstLine="480"/>
        <w:contextualSpacing/>
        <w:rPr>
          <w:color w:val="auto"/>
          <w:sz w:val="24"/>
        </w:rPr>
      </w:pPr>
      <w:r>
        <w:rPr>
          <w:color w:val="auto"/>
          <w:sz w:val="24"/>
        </w:rPr>
        <w:t>（2）占地类型评价</w:t>
      </w:r>
    </w:p>
    <w:p>
      <w:pPr>
        <w:spacing w:line="360" w:lineRule="auto"/>
        <w:ind w:firstLine="480" w:firstLineChars="200"/>
        <w:contextualSpacing/>
        <w:rPr>
          <w:color w:val="auto"/>
          <w:sz w:val="24"/>
        </w:rPr>
      </w:pPr>
      <w:r>
        <w:rPr>
          <w:color w:val="auto"/>
          <w:sz w:val="24"/>
        </w:rPr>
        <w:t>本项目占地类型为</w:t>
      </w:r>
      <w:r>
        <w:rPr>
          <w:rFonts w:hint="eastAsia"/>
          <w:color w:val="auto"/>
          <w:sz w:val="24"/>
        </w:rPr>
        <w:t>公共管理与服务用地和其他林地</w:t>
      </w:r>
      <w:r>
        <w:rPr>
          <w:color w:val="auto"/>
          <w:sz w:val="24"/>
        </w:rPr>
        <w:t>，未占用基本农田、生产力较高的水田、生态功能较高的林地、草地等，符合水土保持对占地类型的要求。</w:t>
      </w:r>
    </w:p>
    <w:p>
      <w:pPr>
        <w:spacing w:line="360" w:lineRule="auto"/>
        <w:ind w:firstLine="480" w:firstLineChars="200"/>
        <w:contextualSpacing/>
        <w:rPr>
          <w:color w:val="auto"/>
          <w:sz w:val="24"/>
        </w:rPr>
      </w:pPr>
      <w:r>
        <w:rPr>
          <w:color w:val="auto"/>
          <w:sz w:val="24"/>
        </w:rPr>
        <w:t>综上所述，方案认为主体工程占地面积、类型以及性质符合水土保持要求。</w:t>
      </w:r>
    </w:p>
    <w:p>
      <w:pPr>
        <w:spacing w:line="360" w:lineRule="auto"/>
        <w:contextualSpacing/>
        <w:outlineLvl w:val="2"/>
        <w:rPr>
          <w:b/>
          <w:bCs/>
          <w:color w:val="auto"/>
          <w:sz w:val="28"/>
          <w:szCs w:val="28"/>
        </w:rPr>
      </w:pPr>
      <w:bookmarkStart w:id="94" w:name="_Toc521945632"/>
      <w:r>
        <w:rPr>
          <w:b/>
          <w:bCs/>
          <w:color w:val="auto"/>
          <w:sz w:val="28"/>
          <w:szCs w:val="28"/>
        </w:rPr>
        <w:t>3.2.3 土石方平衡评价</w:t>
      </w:r>
      <w:bookmarkEnd w:id="94"/>
    </w:p>
    <w:p>
      <w:pPr>
        <w:spacing w:line="360" w:lineRule="auto"/>
        <w:ind w:firstLine="480" w:firstLineChars="200"/>
        <w:contextualSpacing/>
        <w:rPr>
          <w:color w:val="auto"/>
          <w:sz w:val="24"/>
        </w:rPr>
      </w:pPr>
      <w:r>
        <w:rPr>
          <w:color w:val="auto"/>
          <w:sz w:val="24"/>
        </w:rPr>
        <w:t>本项目</w:t>
      </w:r>
      <w:r>
        <w:rPr>
          <w:rFonts w:hint="eastAsia"/>
          <w:color w:val="auto"/>
          <w:sz w:val="24"/>
        </w:rPr>
        <w:t>土方挖填总量为</w:t>
      </w:r>
      <w:r>
        <w:rPr>
          <w:color w:val="auto"/>
          <w:sz w:val="24"/>
        </w:rPr>
        <w:t>4.50</w:t>
      </w:r>
      <w:r>
        <w:rPr>
          <w:rFonts w:hint="eastAsia"/>
          <w:color w:val="auto"/>
          <w:sz w:val="24"/>
        </w:rPr>
        <w:t>万m</w:t>
      </w:r>
      <w:r>
        <w:rPr>
          <w:rFonts w:hint="eastAsia"/>
          <w:color w:val="auto"/>
          <w:sz w:val="24"/>
          <w:vertAlign w:val="superscript"/>
        </w:rPr>
        <w:t>3</w:t>
      </w:r>
      <w:r>
        <w:rPr>
          <w:color w:val="auto"/>
          <w:sz w:val="24"/>
        </w:rPr>
        <w:t>，</w:t>
      </w:r>
      <w:r>
        <w:rPr>
          <w:rFonts w:hint="eastAsia"/>
          <w:color w:val="auto"/>
          <w:sz w:val="24"/>
        </w:rPr>
        <w:t>其中挖方</w:t>
      </w:r>
      <w:r>
        <w:rPr>
          <w:color w:val="auto"/>
          <w:sz w:val="24"/>
        </w:rPr>
        <w:t>2.25</w:t>
      </w:r>
      <w:r>
        <w:rPr>
          <w:rFonts w:hint="eastAsia"/>
          <w:color w:val="auto"/>
          <w:sz w:val="24"/>
        </w:rPr>
        <w:t>万m</w:t>
      </w:r>
      <w:r>
        <w:rPr>
          <w:rFonts w:hint="eastAsia"/>
          <w:color w:val="auto"/>
          <w:sz w:val="24"/>
          <w:vertAlign w:val="superscript"/>
        </w:rPr>
        <w:t>3</w:t>
      </w:r>
      <w:r>
        <w:rPr>
          <w:color w:val="auto"/>
          <w:sz w:val="24"/>
        </w:rPr>
        <w:t>，</w:t>
      </w:r>
      <w:r>
        <w:rPr>
          <w:rFonts w:hint="eastAsia"/>
          <w:color w:val="auto"/>
          <w:sz w:val="24"/>
        </w:rPr>
        <w:t>填方</w:t>
      </w:r>
      <w:r>
        <w:rPr>
          <w:color w:val="auto"/>
          <w:sz w:val="24"/>
        </w:rPr>
        <w:t>2.25</w:t>
      </w:r>
      <w:r>
        <w:rPr>
          <w:rFonts w:hint="eastAsia"/>
          <w:color w:val="auto"/>
          <w:sz w:val="24"/>
        </w:rPr>
        <w:t>万m</w:t>
      </w:r>
      <w:r>
        <w:rPr>
          <w:rFonts w:hint="eastAsia"/>
          <w:color w:val="auto"/>
          <w:sz w:val="24"/>
          <w:vertAlign w:val="superscript"/>
        </w:rPr>
        <w:t>3</w:t>
      </w:r>
      <w:r>
        <w:rPr>
          <w:rFonts w:hint="eastAsia"/>
          <w:color w:val="auto"/>
          <w:sz w:val="24"/>
        </w:rPr>
        <w:t>，无借方，无弃方。</w:t>
      </w:r>
    </w:p>
    <w:p>
      <w:pPr>
        <w:spacing w:line="360" w:lineRule="auto"/>
        <w:ind w:firstLine="480" w:firstLineChars="200"/>
        <w:contextualSpacing/>
        <w:rPr>
          <w:color w:val="auto"/>
          <w:sz w:val="24"/>
        </w:rPr>
      </w:pPr>
      <w:r>
        <w:rPr>
          <w:color w:val="auto"/>
          <w:sz w:val="24"/>
        </w:rPr>
        <w:t>本工程</w:t>
      </w:r>
      <w:r>
        <w:rPr>
          <w:rFonts w:hint="eastAsia"/>
          <w:color w:val="auto"/>
          <w:sz w:val="24"/>
        </w:rPr>
        <w:t>土方</w:t>
      </w:r>
      <w:r>
        <w:rPr>
          <w:color w:val="auto"/>
          <w:sz w:val="24"/>
        </w:rPr>
        <w:t>量</w:t>
      </w:r>
      <w:r>
        <w:rPr>
          <w:rFonts w:hint="eastAsia"/>
          <w:color w:val="auto"/>
          <w:sz w:val="24"/>
        </w:rPr>
        <w:t>挖填</w:t>
      </w:r>
      <w:r>
        <w:rPr>
          <w:color w:val="auto"/>
          <w:sz w:val="24"/>
        </w:rPr>
        <w:t>平衡，基本符合水土保持技术要求，无弃土产生。</w:t>
      </w:r>
    </w:p>
    <w:p>
      <w:pPr>
        <w:spacing w:line="360" w:lineRule="auto"/>
        <w:contextualSpacing/>
        <w:outlineLvl w:val="2"/>
        <w:rPr>
          <w:b/>
          <w:bCs/>
          <w:color w:val="auto"/>
          <w:sz w:val="28"/>
          <w:szCs w:val="28"/>
        </w:rPr>
      </w:pPr>
      <w:bookmarkStart w:id="95" w:name="_Toc521945633"/>
      <w:r>
        <w:rPr>
          <w:b/>
          <w:bCs/>
          <w:color w:val="auto"/>
          <w:sz w:val="28"/>
          <w:szCs w:val="28"/>
        </w:rPr>
        <w:t xml:space="preserve">3.2.4 </w:t>
      </w:r>
      <w:bookmarkEnd w:id="95"/>
      <w:r>
        <w:rPr>
          <w:b/>
          <w:bCs/>
          <w:color w:val="auto"/>
          <w:sz w:val="28"/>
          <w:szCs w:val="28"/>
        </w:rPr>
        <w:t>取土（石、砂）场设置评价</w:t>
      </w:r>
    </w:p>
    <w:p>
      <w:pPr>
        <w:adjustRightInd w:val="0"/>
        <w:snapToGrid w:val="0"/>
        <w:spacing w:line="360" w:lineRule="auto"/>
        <w:ind w:firstLine="480" w:firstLineChars="200"/>
        <w:contextualSpacing/>
        <w:rPr>
          <w:color w:val="auto"/>
          <w:sz w:val="24"/>
        </w:rPr>
      </w:pPr>
      <w:bookmarkStart w:id="96" w:name="_Toc521945635"/>
      <w:r>
        <w:rPr>
          <w:color w:val="auto"/>
          <w:sz w:val="24"/>
        </w:rPr>
        <w:t>本项目未设置取土场，所需砂石料均为外购，符合水土保持防治要求。</w:t>
      </w:r>
    </w:p>
    <w:p>
      <w:pPr>
        <w:spacing w:line="360" w:lineRule="auto"/>
        <w:contextualSpacing/>
        <w:outlineLvl w:val="2"/>
        <w:rPr>
          <w:b/>
          <w:bCs/>
          <w:color w:val="auto"/>
          <w:sz w:val="28"/>
          <w:szCs w:val="28"/>
        </w:rPr>
      </w:pPr>
      <w:r>
        <w:rPr>
          <w:b/>
          <w:bCs/>
          <w:color w:val="auto"/>
          <w:sz w:val="28"/>
          <w:szCs w:val="28"/>
        </w:rPr>
        <w:t>3.2.5 弃土(石、渣、灰、矸石、尾矿)场设置评价</w:t>
      </w:r>
    </w:p>
    <w:p>
      <w:pPr>
        <w:adjustRightInd w:val="0"/>
        <w:snapToGrid w:val="0"/>
        <w:spacing w:line="360" w:lineRule="auto"/>
        <w:ind w:firstLine="480" w:firstLineChars="200"/>
        <w:contextualSpacing/>
        <w:rPr>
          <w:color w:val="auto"/>
          <w:sz w:val="24"/>
        </w:rPr>
      </w:pPr>
      <w:r>
        <w:rPr>
          <w:color w:val="auto"/>
          <w:sz w:val="24"/>
        </w:rPr>
        <w:t>本项目建设期间开挖土方全部回填，无弃土产生，故不设置弃土场。</w:t>
      </w:r>
    </w:p>
    <w:bookmarkEnd w:id="96"/>
    <w:p>
      <w:pPr>
        <w:spacing w:line="360" w:lineRule="auto"/>
        <w:contextualSpacing/>
        <w:outlineLvl w:val="2"/>
        <w:rPr>
          <w:b/>
          <w:bCs/>
          <w:color w:val="auto"/>
          <w:sz w:val="28"/>
          <w:szCs w:val="28"/>
        </w:rPr>
      </w:pPr>
      <w:bookmarkStart w:id="97" w:name="_Toc521945636"/>
      <w:r>
        <w:rPr>
          <w:b/>
          <w:bCs/>
          <w:color w:val="auto"/>
          <w:sz w:val="28"/>
          <w:szCs w:val="28"/>
        </w:rPr>
        <w:t>3.2.6施工方法与工艺评价</w:t>
      </w:r>
    </w:p>
    <w:p>
      <w:pPr>
        <w:spacing w:line="360" w:lineRule="auto"/>
        <w:ind w:firstLine="480" w:firstLineChars="200"/>
        <w:contextualSpacing/>
        <w:rPr>
          <w:color w:val="auto"/>
          <w:sz w:val="24"/>
        </w:rPr>
      </w:pPr>
      <w:r>
        <w:rPr>
          <w:color w:val="auto"/>
          <w:sz w:val="24"/>
        </w:rPr>
        <w:t>本项目在施工组织中，充分利用项目区周边施工条件进行综合布置。项目区外部道路利用</w:t>
      </w:r>
      <w:r>
        <w:rPr>
          <w:rFonts w:hint="eastAsia"/>
          <w:color w:val="auto"/>
          <w:sz w:val="24"/>
        </w:rPr>
        <w:t>园区现状路网</w:t>
      </w:r>
      <w:r>
        <w:rPr>
          <w:color w:val="auto"/>
          <w:sz w:val="24"/>
        </w:rPr>
        <w:t>，交通较为便利，工程所用建筑材料水泥、砂石料可从</w:t>
      </w:r>
      <w:r>
        <w:rPr>
          <w:rFonts w:hint="eastAsia"/>
          <w:color w:val="auto"/>
          <w:sz w:val="24"/>
        </w:rPr>
        <w:t>当地</w:t>
      </w:r>
      <w:r>
        <w:rPr>
          <w:color w:val="auto"/>
          <w:sz w:val="24"/>
        </w:rPr>
        <w:t>购进，通过</w:t>
      </w:r>
      <w:r>
        <w:rPr>
          <w:rFonts w:hint="eastAsia"/>
          <w:color w:val="auto"/>
          <w:sz w:val="24"/>
        </w:rPr>
        <w:t>园区</w:t>
      </w:r>
      <w:r>
        <w:rPr>
          <w:color w:val="auto"/>
          <w:sz w:val="24"/>
        </w:rPr>
        <w:t>道路至施工现场，可满足施工机械进场和场内设备运输的要求。本项目的施工水源、电源均</w:t>
      </w:r>
      <w:r>
        <w:rPr>
          <w:rFonts w:hint="eastAsia"/>
          <w:color w:val="auto"/>
          <w:sz w:val="24"/>
        </w:rPr>
        <w:t>从园区引入</w:t>
      </w:r>
      <w:r>
        <w:rPr>
          <w:color w:val="auto"/>
          <w:sz w:val="24"/>
        </w:rPr>
        <w:t>。建设期间的施工生产</w:t>
      </w:r>
      <w:r>
        <w:rPr>
          <w:rFonts w:hint="eastAsia"/>
          <w:color w:val="auto"/>
          <w:sz w:val="24"/>
        </w:rPr>
        <w:t>区</w:t>
      </w:r>
      <w:r>
        <w:rPr>
          <w:color w:val="auto"/>
          <w:sz w:val="24"/>
        </w:rPr>
        <w:t>布置在永久占地范围之内，未新增占地</w:t>
      </w:r>
      <w:r>
        <w:rPr>
          <w:rFonts w:hint="eastAsia"/>
          <w:color w:val="auto"/>
          <w:sz w:val="24"/>
        </w:rPr>
        <w:t>；园区内管网临时占地施工结束后进行修复。</w:t>
      </w:r>
      <w:r>
        <w:rPr>
          <w:color w:val="auto"/>
          <w:sz w:val="24"/>
        </w:rPr>
        <w:t>因此，从水土保持角度分析，认为该工程施工组织安排合理，满足施工和水保要求。</w:t>
      </w:r>
    </w:p>
    <w:p>
      <w:pPr>
        <w:spacing w:line="360" w:lineRule="auto"/>
        <w:contextualSpacing/>
        <w:outlineLvl w:val="2"/>
        <w:rPr>
          <w:b/>
          <w:bCs/>
          <w:color w:val="auto"/>
          <w:sz w:val="28"/>
          <w:szCs w:val="28"/>
        </w:rPr>
      </w:pPr>
      <w:r>
        <w:rPr>
          <w:b/>
          <w:bCs/>
          <w:color w:val="auto"/>
          <w:sz w:val="28"/>
          <w:szCs w:val="28"/>
        </w:rPr>
        <w:t>3.2.7主体设计中具有水土保持功能工程的评价</w:t>
      </w:r>
      <w:bookmarkEnd w:id="97"/>
    </w:p>
    <w:p>
      <w:pPr>
        <w:pStyle w:val="98"/>
        <w:spacing w:line="360" w:lineRule="auto"/>
        <w:ind w:firstLine="480" w:firstLineChars="200"/>
        <w:contextualSpacing/>
        <w:rPr>
          <w:rFonts w:ascii="Times New Roman" w:hAnsi="Times New Roman" w:eastAsia="仿宋_GB2312"/>
          <w:color w:val="auto"/>
          <w:sz w:val="24"/>
          <w:szCs w:val="24"/>
        </w:rPr>
      </w:pPr>
      <w:r>
        <w:rPr>
          <w:rFonts w:ascii="Times New Roman" w:hAnsi="Times New Roman" w:eastAsia="仿宋_GB2312"/>
          <w:color w:val="auto"/>
          <w:sz w:val="24"/>
          <w:szCs w:val="24"/>
        </w:rPr>
        <w:t>主体工程从自身功能和安全角度考虑，布置了一系列具有水土保持功能的设施，在充分发挥主体工程自身作用的同时，有效地防治了水土流失。本方案将从全面防治水土流失的角度出发，对主体工程设计中具有水土保持功能的各项工程进行分析论证，对不能满足水土保持要求的，本方案将进行补充设计。具体分析如下：</w:t>
      </w:r>
    </w:p>
    <w:p>
      <w:pPr>
        <w:spacing w:line="360" w:lineRule="auto"/>
        <w:ind w:firstLine="480" w:firstLineChars="200"/>
        <w:contextualSpacing/>
        <w:rPr>
          <w:color w:val="auto"/>
          <w:sz w:val="24"/>
        </w:rPr>
      </w:pPr>
      <w:bookmarkStart w:id="98" w:name="_Hlk78966835"/>
      <w:r>
        <w:rPr>
          <w:rFonts w:hint="eastAsia"/>
          <w:color w:val="auto"/>
          <w:sz w:val="24"/>
        </w:rPr>
        <w:t>一、建构筑物区</w:t>
      </w:r>
    </w:p>
    <w:p>
      <w:pPr>
        <w:spacing w:line="360" w:lineRule="auto"/>
        <w:ind w:firstLine="480" w:firstLineChars="200"/>
        <w:contextualSpacing/>
        <w:rPr>
          <w:color w:val="auto"/>
          <w:sz w:val="24"/>
        </w:rPr>
      </w:pPr>
      <w:r>
        <w:rPr>
          <w:rFonts w:hint="eastAsia"/>
          <w:color w:val="auto"/>
          <w:sz w:val="24"/>
        </w:rPr>
        <w:t>1、临时措施</w:t>
      </w:r>
    </w:p>
    <w:p>
      <w:pPr>
        <w:spacing w:line="360" w:lineRule="auto"/>
        <w:ind w:firstLine="480" w:firstLineChars="200"/>
        <w:contextualSpacing/>
        <w:rPr>
          <w:color w:val="auto"/>
          <w:sz w:val="24"/>
        </w:rPr>
      </w:pPr>
      <w:r>
        <w:rPr>
          <w:rFonts w:hint="eastAsia"/>
          <w:color w:val="auto"/>
          <w:sz w:val="24"/>
        </w:rPr>
        <w:t>（1）临时苫盖及拆除</w:t>
      </w:r>
    </w:p>
    <w:p>
      <w:pPr>
        <w:spacing w:line="360" w:lineRule="auto"/>
        <w:ind w:firstLine="480" w:firstLineChars="200"/>
        <w:contextualSpacing/>
        <w:rPr>
          <w:bCs/>
          <w:color w:val="auto"/>
          <w:sz w:val="24"/>
        </w:rPr>
      </w:pPr>
      <w:r>
        <w:rPr>
          <w:rFonts w:hint="eastAsia"/>
          <w:bCs/>
          <w:color w:val="auto"/>
          <w:sz w:val="24"/>
        </w:rPr>
        <w:t>主体设计施工期间对基础开挖的土方进行苫盖，苫盖面积</w:t>
      </w:r>
      <w:r>
        <w:rPr>
          <w:bCs/>
          <w:color w:val="auto"/>
          <w:sz w:val="24"/>
        </w:rPr>
        <w:t>5200m</w:t>
      </w:r>
      <w:r>
        <w:rPr>
          <w:bCs/>
          <w:color w:val="auto"/>
          <w:sz w:val="24"/>
          <w:vertAlign w:val="superscript"/>
        </w:rPr>
        <w:t>2</w:t>
      </w:r>
      <w:r>
        <w:rPr>
          <w:bCs/>
          <w:color w:val="auto"/>
          <w:sz w:val="24"/>
        </w:rPr>
        <w:t>。</w:t>
      </w:r>
    </w:p>
    <w:p>
      <w:pPr>
        <w:spacing w:line="360" w:lineRule="auto"/>
        <w:ind w:firstLine="480" w:firstLineChars="200"/>
        <w:contextualSpacing/>
        <w:rPr>
          <w:color w:val="auto"/>
          <w:sz w:val="24"/>
        </w:rPr>
      </w:pPr>
      <w:r>
        <w:rPr>
          <w:color w:val="auto"/>
          <w:sz w:val="24"/>
        </w:rPr>
        <w:t>分析与评价：</w:t>
      </w:r>
      <w:r>
        <w:rPr>
          <w:rFonts w:hint="eastAsia"/>
          <w:color w:val="auto"/>
          <w:sz w:val="24"/>
        </w:rPr>
        <w:t>苫布覆盖可避免雨水对堆置土方的冲刷</w:t>
      </w:r>
      <w:r>
        <w:rPr>
          <w:color w:val="auto"/>
          <w:sz w:val="24"/>
        </w:rPr>
        <w:t>，</w:t>
      </w:r>
      <w:r>
        <w:rPr>
          <w:rFonts w:hint="eastAsia"/>
          <w:color w:val="auto"/>
          <w:sz w:val="24"/>
        </w:rPr>
        <w:t>防止水土流失，</w:t>
      </w:r>
      <w:r>
        <w:rPr>
          <w:color w:val="auto"/>
          <w:sz w:val="24"/>
        </w:rPr>
        <w:t>满足水土保持措施的要求，界定为水土保持措施。</w:t>
      </w:r>
    </w:p>
    <w:p>
      <w:pPr>
        <w:spacing w:line="360" w:lineRule="auto"/>
        <w:ind w:firstLine="480" w:firstLineChars="200"/>
        <w:contextualSpacing/>
        <w:rPr>
          <w:color w:val="auto"/>
          <w:sz w:val="24"/>
        </w:rPr>
      </w:pPr>
      <w:r>
        <w:rPr>
          <w:rFonts w:hint="eastAsia"/>
          <w:color w:val="auto"/>
          <w:sz w:val="24"/>
        </w:rPr>
        <w:t>二、</w:t>
      </w:r>
      <w:r>
        <w:rPr>
          <w:color w:val="auto"/>
          <w:sz w:val="24"/>
        </w:rPr>
        <w:t>道路</w:t>
      </w:r>
      <w:r>
        <w:rPr>
          <w:rFonts w:hint="eastAsia"/>
          <w:color w:val="auto"/>
          <w:sz w:val="24"/>
        </w:rPr>
        <w:t>地面</w:t>
      </w:r>
      <w:r>
        <w:rPr>
          <w:color w:val="auto"/>
          <w:sz w:val="24"/>
        </w:rPr>
        <w:t>硬化区</w:t>
      </w:r>
    </w:p>
    <w:p>
      <w:pPr>
        <w:spacing w:line="360" w:lineRule="auto"/>
        <w:ind w:firstLine="480" w:firstLineChars="200"/>
        <w:contextualSpacing/>
        <w:rPr>
          <w:color w:val="auto"/>
          <w:sz w:val="24"/>
        </w:rPr>
      </w:pPr>
      <w:r>
        <w:rPr>
          <w:rFonts w:hint="eastAsia"/>
          <w:color w:val="auto"/>
          <w:sz w:val="24"/>
        </w:rPr>
        <w:t>1、工程措施</w:t>
      </w:r>
    </w:p>
    <w:p>
      <w:pPr>
        <w:spacing w:line="360" w:lineRule="auto"/>
        <w:ind w:firstLine="480" w:firstLineChars="200"/>
        <w:contextualSpacing/>
        <w:rPr>
          <w:color w:val="auto"/>
          <w:sz w:val="24"/>
        </w:rPr>
      </w:pPr>
      <w:r>
        <w:rPr>
          <w:color w:val="auto"/>
          <w:sz w:val="24"/>
        </w:rPr>
        <w:t>（1）</w:t>
      </w:r>
      <w:r>
        <w:rPr>
          <w:rFonts w:hint="eastAsia"/>
          <w:color w:val="auto"/>
          <w:sz w:val="24"/>
        </w:rPr>
        <w:t>雨水管网</w:t>
      </w:r>
    </w:p>
    <w:p>
      <w:pPr>
        <w:spacing w:line="360" w:lineRule="auto"/>
        <w:ind w:firstLine="480" w:firstLineChars="200"/>
        <w:contextualSpacing/>
        <w:rPr>
          <w:color w:val="auto"/>
          <w:sz w:val="24"/>
        </w:rPr>
      </w:pPr>
      <w:r>
        <w:rPr>
          <w:rFonts w:hint="eastAsia"/>
          <w:color w:val="auto"/>
          <w:sz w:val="24"/>
        </w:rPr>
        <w:t>主体设计</w:t>
      </w:r>
      <w:r>
        <w:rPr>
          <w:color w:val="auto"/>
          <w:sz w:val="24"/>
        </w:rPr>
        <w:t>雨水排水系统沿道路布设，雨水经收集后</w:t>
      </w:r>
      <w:r>
        <w:rPr>
          <w:rFonts w:hint="eastAsia"/>
          <w:color w:val="auto"/>
          <w:sz w:val="24"/>
        </w:rPr>
        <w:t>排入北侧规划七路雨水管网和东侧规划三路雨水管网</w:t>
      </w:r>
      <w:r>
        <w:rPr>
          <w:color w:val="auto"/>
          <w:sz w:val="24"/>
        </w:rPr>
        <w:t>。排水管道坡向与道路坡向一致，管道管径为</w:t>
      </w:r>
      <w:r>
        <w:rPr>
          <w:rFonts w:hint="eastAsia"/>
          <w:color w:val="auto"/>
          <w:sz w:val="24"/>
        </w:rPr>
        <w:t>D</w:t>
      </w:r>
      <w:r>
        <w:rPr>
          <w:color w:val="auto"/>
          <w:sz w:val="24"/>
        </w:rPr>
        <w:t>1000~D1200</w:t>
      </w:r>
      <w:r>
        <w:rPr>
          <w:rFonts w:hint="eastAsia"/>
          <w:color w:val="auto"/>
          <w:sz w:val="24"/>
        </w:rPr>
        <w:t>。</w:t>
      </w:r>
      <w:r>
        <w:rPr>
          <w:color w:val="auto"/>
          <w:sz w:val="24"/>
        </w:rPr>
        <w:t>根据主体工程设计，本区共布设</w:t>
      </w:r>
      <w:r>
        <w:rPr>
          <w:rFonts w:hint="eastAsia"/>
          <w:color w:val="auto"/>
          <w:sz w:val="24"/>
        </w:rPr>
        <w:t>D</w:t>
      </w:r>
      <w:r>
        <w:rPr>
          <w:color w:val="auto"/>
          <w:sz w:val="24"/>
        </w:rPr>
        <w:t>1000</w:t>
      </w:r>
      <w:r>
        <w:rPr>
          <w:rFonts w:hint="eastAsia"/>
          <w:color w:val="auto"/>
          <w:sz w:val="24"/>
        </w:rPr>
        <w:t>混凝土</w:t>
      </w:r>
      <w:r>
        <w:rPr>
          <w:color w:val="auto"/>
          <w:sz w:val="24"/>
        </w:rPr>
        <w:t>雨水管100m、</w:t>
      </w:r>
      <w:r>
        <w:rPr>
          <w:rFonts w:hint="eastAsia"/>
          <w:color w:val="auto"/>
          <w:sz w:val="24"/>
        </w:rPr>
        <w:t>D</w:t>
      </w:r>
      <w:r>
        <w:rPr>
          <w:color w:val="auto"/>
          <w:sz w:val="24"/>
        </w:rPr>
        <w:t>1200</w:t>
      </w:r>
      <w:r>
        <w:rPr>
          <w:rFonts w:hint="eastAsia"/>
          <w:color w:val="auto"/>
          <w:sz w:val="24"/>
        </w:rPr>
        <w:t>混凝土</w:t>
      </w:r>
      <w:r>
        <w:rPr>
          <w:color w:val="auto"/>
          <w:sz w:val="24"/>
        </w:rPr>
        <w:t>雨水管149m、雨水井18</w:t>
      </w:r>
      <w:r>
        <w:rPr>
          <w:rFonts w:hint="eastAsia"/>
          <w:color w:val="auto"/>
          <w:sz w:val="24"/>
        </w:rPr>
        <w:t>座</w:t>
      </w:r>
      <w:r>
        <w:rPr>
          <w:color w:val="auto"/>
          <w:sz w:val="24"/>
        </w:rPr>
        <w:t>。</w:t>
      </w:r>
    </w:p>
    <w:p>
      <w:pPr>
        <w:spacing w:line="360" w:lineRule="auto"/>
        <w:ind w:firstLine="480" w:firstLineChars="200"/>
        <w:contextualSpacing/>
        <w:rPr>
          <w:color w:val="auto"/>
          <w:sz w:val="24"/>
        </w:rPr>
      </w:pPr>
      <w:r>
        <w:rPr>
          <w:rFonts w:hint="eastAsia"/>
          <w:color w:val="auto"/>
          <w:sz w:val="24"/>
        </w:rPr>
        <w:t>（2）排水明沟</w:t>
      </w:r>
    </w:p>
    <w:p>
      <w:pPr>
        <w:spacing w:line="360" w:lineRule="auto"/>
        <w:ind w:firstLine="480" w:firstLineChars="200"/>
        <w:contextualSpacing/>
        <w:rPr>
          <w:color w:val="auto"/>
          <w:sz w:val="24"/>
        </w:rPr>
      </w:pPr>
      <w:r>
        <w:rPr>
          <w:rFonts w:hint="eastAsia"/>
          <w:color w:val="auto"/>
          <w:sz w:val="24"/>
        </w:rPr>
        <w:t>主体设计沿地块西侧和南侧布设排水明沟2</w:t>
      </w:r>
      <w:r>
        <w:rPr>
          <w:color w:val="auto"/>
          <w:sz w:val="24"/>
        </w:rPr>
        <w:t>60m</w:t>
      </w:r>
      <w:r>
        <w:rPr>
          <w:rFonts w:hint="eastAsia"/>
          <w:color w:val="auto"/>
          <w:sz w:val="24"/>
        </w:rPr>
        <w:t>。排水沟断面为矩形，采用C</w:t>
      </w:r>
      <w:r>
        <w:rPr>
          <w:color w:val="auto"/>
          <w:sz w:val="24"/>
        </w:rPr>
        <w:t>25</w:t>
      </w:r>
      <w:r>
        <w:rPr>
          <w:rFonts w:hint="eastAsia"/>
          <w:color w:val="auto"/>
          <w:sz w:val="24"/>
        </w:rPr>
        <w:t>混凝土浇筑，底宽5</w:t>
      </w:r>
      <w:r>
        <w:rPr>
          <w:color w:val="auto"/>
          <w:sz w:val="24"/>
        </w:rPr>
        <w:t>0cm</w:t>
      </w:r>
      <w:r>
        <w:rPr>
          <w:rFonts w:hint="eastAsia"/>
          <w:color w:val="auto"/>
          <w:sz w:val="24"/>
        </w:rPr>
        <w:t>，深5</w:t>
      </w:r>
      <w:r>
        <w:rPr>
          <w:color w:val="auto"/>
          <w:sz w:val="24"/>
        </w:rPr>
        <w:t>0cm</w:t>
      </w:r>
      <w:r>
        <w:rPr>
          <w:rFonts w:hint="eastAsia"/>
          <w:color w:val="auto"/>
          <w:sz w:val="24"/>
        </w:rPr>
        <w:t>，壁厚1</w:t>
      </w:r>
      <w:r>
        <w:rPr>
          <w:color w:val="auto"/>
          <w:sz w:val="24"/>
        </w:rPr>
        <w:t>5cm</w:t>
      </w:r>
      <w:r>
        <w:rPr>
          <w:rFonts w:hint="eastAsia"/>
          <w:color w:val="auto"/>
          <w:sz w:val="24"/>
        </w:rPr>
        <w:t>。</w:t>
      </w:r>
    </w:p>
    <w:p>
      <w:pPr>
        <w:spacing w:line="360" w:lineRule="auto"/>
        <w:ind w:firstLine="480" w:firstLineChars="200"/>
        <w:contextualSpacing/>
        <w:rPr>
          <w:color w:val="auto"/>
          <w:sz w:val="24"/>
        </w:rPr>
      </w:pPr>
      <w:r>
        <w:rPr>
          <w:color w:val="auto"/>
          <w:sz w:val="24"/>
        </w:rPr>
        <w:t>分析与评价：水土保持角度分析，排水工程能较好的收集区域内的雨水，可以实现地表径流的有序排放，减轻因施工造成项目范围内的地表水、地下水乱流而导致的冲刷和泥沙淤积，符合水土保持要求。</w:t>
      </w:r>
    </w:p>
    <w:p>
      <w:pPr>
        <w:spacing w:line="360" w:lineRule="auto"/>
        <w:ind w:firstLine="480" w:firstLineChars="200"/>
        <w:contextualSpacing/>
        <w:rPr>
          <w:color w:val="auto"/>
          <w:sz w:val="24"/>
        </w:rPr>
      </w:pPr>
      <w:r>
        <w:rPr>
          <w:rFonts w:hint="eastAsia"/>
          <w:color w:val="auto"/>
          <w:sz w:val="24"/>
        </w:rPr>
        <w:t>三、绿化区</w:t>
      </w:r>
    </w:p>
    <w:p>
      <w:pPr>
        <w:spacing w:line="360" w:lineRule="auto"/>
        <w:ind w:firstLine="480" w:firstLineChars="200"/>
        <w:contextualSpacing/>
        <w:rPr>
          <w:color w:val="auto"/>
          <w:sz w:val="24"/>
        </w:rPr>
      </w:pPr>
      <w:r>
        <w:rPr>
          <w:rFonts w:hint="eastAsia"/>
          <w:color w:val="auto"/>
          <w:sz w:val="24"/>
        </w:rPr>
        <w:t>1、工程措施</w:t>
      </w:r>
    </w:p>
    <w:p>
      <w:pPr>
        <w:spacing w:line="360" w:lineRule="auto"/>
        <w:ind w:firstLine="480" w:firstLineChars="200"/>
        <w:contextualSpacing/>
        <w:rPr>
          <w:color w:val="auto"/>
          <w:sz w:val="24"/>
        </w:rPr>
      </w:pPr>
      <w:r>
        <w:rPr>
          <w:rFonts w:hint="eastAsia"/>
          <w:color w:val="auto"/>
          <w:sz w:val="24"/>
        </w:rPr>
        <w:t>（1）全面整地</w:t>
      </w:r>
    </w:p>
    <w:p>
      <w:pPr>
        <w:spacing w:line="360" w:lineRule="auto"/>
        <w:ind w:firstLine="480" w:firstLineChars="200"/>
        <w:contextualSpacing/>
        <w:rPr>
          <w:color w:val="auto"/>
          <w:sz w:val="24"/>
        </w:rPr>
      </w:pPr>
      <w:r>
        <w:rPr>
          <w:rFonts w:hint="eastAsia"/>
          <w:color w:val="auto"/>
          <w:sz w:val="24"/>
        </w:rPr>
        <w:t>主体设计绿化施工前对该区域进行整治，整地面积</w:t>
      </w:r>
      <w:r>
        <w:rPr>
          <w:color w:val="auto"/>
          <w:sz w:val="24"/>
        </w:rPr>
        <w:t>1.30hm</w:t>
      </w:r>
      <w:r>
        <w:rPr>
          <w:color w:val="auto"/>
          <w:sz w:val="24"/>
          <w:vertAlign w:val="superscript"/>
        </w:rPr>
        <w:t>2</w:t>
      </w:r>
      <w:r>
        <w:rPr>
          <w:rFonts w:hint="eastAsia"/>
          <w:color w:val="auto"/>
          <w:sz w:val="24"/>
        </w:rPr>
        <w:t>（扣除施工生产区占地）。</w:t>
      </w:r>
    </w:p>
    <w:p>
      <w:pPr>
        <w:spacing w:line="360" w:lineRule="auto"/>
        <w:ind w:firstLine="480" w:firstLineChars="200"/>
        <w:contextualSpacing/>
        <w:rPr>
          <w:color w:val="auto"/>
          <w:sz w:val="24"/>
        </w:rPr>
      </w:pPr>
      <w:r>
        <w:rPr>
          <w:rFonts w:hint="eastAsia"/>
          <w:color w:val="auto"/>
          <w:sz w:val="24"/>
        </w:rPr>
        <w:t>2</w:t>
      </w:r>
      <w:r>
        <w:rPr>
          <w:color w:val="auto"/>
          <w:sz w:val="24"/>
        </w:rPr>
        <w:t>、</w:t>
      </w:r>
      <w:r>
        <w:rPr>
          <w:rFonts w:hint="eastAsia"/>
          <w:color w:val="auto"/>
          <w:sz w:val="24"/>
        </w:rPr>
        <w:t>植物措施</w:t>
      </w:r>
    </w:p>
    <w:p>
      <w:pPr>
        <w:spacing w:line="360" w:lineRule="auto"/>
        <w:ind w:firstLine="480" w:firstLineChars="200"/>
        <w:contextualSpacing/>
        <w:rPr>
          <w:color w:val="auto"/>
          <w:sz w:val="24"/>
        </w:rPr>
      </w:pPr>
      <w:r>
        <w:rPr>
          <w:rFonts w:hint="eastAsia"/>
          <w:color w:val="auto"/>
          <w:sz w:val="24"/>
        </w:rPr>
        <w:t>（1）铺设草坪</w:t>
      </w:r>
    </w:p>
    <w:p>
      <w:pPr>
        <w:spacing w:line="360" w:lineRule="auto"/>
        <w:ind w:firstLine="480" w:firstLineChars="200"/>
        <w:contextualSpacing/>
        <w:rPr>
          <w:color w:val="auto"/>
          <w:sz w:val="24"/>
        </w:rPr>
      </w:pPr>
      <w:r>
        <w:rPr>
          <w:rFonts w:hint="eastAsia"/>
          <w:color w:val="auto"/>
          <w:sz w:val="24"/>
        </w:rPr>
        <w:t>主体设计对绿化区</w:t>
      </w:r>
      <w:r>
        <w:rPr>
          <w:color w:val="auto"/>
          <w:sz w:val="24"/>
        </w:rPr>
        <w:t>采用</w:t>
      </w:r>
      <w:r>
        <w:rPr>
          <w:rFonts w:hint="eastAsia"/>
          <w:color w:val="auto"/>
          <w:sz w:val="24"/>
        </w:rPr>
        <w:t>铺设草坪</w:t>
      </w:r>
      <w:r>
        <w:rPr>
          <w:color w:val="auto"/>
          <w:sz w:val="24"/>
        </w:rPr>
        <w:t>的方式</w:t>
      </w:r>
      <w:r>
        <w:rPr>
          <w:rFonts w:hint="eastAsia"/>
          <w:color w:val="auto"/>
          <w:sz w:val="24"/>
        </w:rPr>
        <w:t>绿化</w:t>
      </w:r>
      <w:r>
        <w:rPr>
          <w:color w:val="auto"/>
          <w:sz w:val="24"/>
        </w:rPr>
        <w:t>，绿化面积1.60hm</w:t>
      </w:r>
      <w:r>
        <w:rPr>
          <w:color w:val="auto"/>
          <w:sz w:val="24"/>
          <w:vertAlign w:val="superscript"/>
        </w:rPr>
        <w:t>2</w:t>
      </w:r>
      <w:r>
        <w:rPr>
          <w:rFonts w:hint="eastAsia"/>
          <w:color w:val="auto"/>
          <w:sz w:val="24"/>
        </w:rPr>
        <w:t>。</w:t>
      </w:r>
    </w:p>
    <w:p>
      <w:pPr>
        <w:spacing w:line="360" w:lineRule="auto"/>
        <w:ind w:firstLine="480" w:firstLineChars="200"/>
        <w:contextualSpacing/>
        <w:rPr>
          <w:color w:val="auto"/>
          <w:sz w:val="24"/>
        </w:rPr>
      </w:pPr>
      <w:r>
        <w:rPr>
          <w:color w:val="auto"/>
          <w:sz w:val="24"/>
        </w:rPr>
        <w:t>分析与评价：绿化区主体设计了</w:t>
      </w:r>
      <w:r>
        <w:rPr>
          <w:rFonts w:hint="eastAsia"/>
          <w:color w:val="auto"/>
          <w:sz w:val="24"/>
        </w:rPr>
        <w:t>全面整地</w:t>
      </w:r>
      <w:r>
        <w:rPr>
          <w:color w:val="auto"/>
          <w:sz w:val="24"/>
        </w:rPr>
        <w:t>以及绿化工程措施，</w:t>
      </w:r>
      <w:r>
        <w:rPr>
          <w:rFonts w:hint="eastAsia"/>
          <w:color w:val="auto"/>
          <w:sz w:val="24"/>
        </w:rPr>
        <w:t>可减轻裸露地表水土流失，</w:t>
      </w:r>
      <w:r>
        <w:rPr>
          <w:color w:val="auto"/>
          <w:sz w:val="24"/>
        </w:rPr>
        <w:t>满足水土保持要求。</w:t>
      </w:r>
    </w:p>
    <w:p>
      <w:pPr>
        <w:spacing w:line="360" w:lineRule="auto"/>
        <w:ind w:firstLine="480" w:firstLineChars="200"/>
        <w:contextualSpacing/>
        <w:rPr>
          <w:color w:val="auto"/>
          <w:sz w:val="24"/>
        </w:rPr>
      </w:pPr>
      <w:r>
        <w:rPr>
          <w:rFonts w:hint="eastAsia"/>
          <w:color w:val="auto"/>
          <w:sz w:val="24"/>
        </w:rPr>
        <w:t>四、工业园区管网区</w:t>
      </w:r>
    </w:p>
    <w:p>
      <w:pPr>
        <w:spacing w:line="360" w:lineRule="auto"/>
        <w:ind w:firstLine="480" w:firstLineChars="200"/>
        <w:contextualSpacing/>
        <w:rPr>
          <w:color w:val="auto"/>
          <w:sz w:val="24"/>
        </w:rPr>
      </w:pPr>
      <w:r>
        <w:rPr>
          <w:rFonts w:hint="eastAsia"/>
          <w:color w:val="auto"/>
          <w:sz w:val="24"/>
        </w:rPr>
        <w:t>1、工程措施</w:t>
      </w:r>
    </w:p>
    <w:p>
      <w:pPr>
        <w:spacing w:line="360" w:lineRule="auto"/>
        <w:ind w:firstLine="480" w:firstLineChars="200"/>
        <w:contextualSpacing/>
        <w:rPr>
          <w:color w:val="auto"/>
          <w:sz w:val="24"/>
        </w:rPr>
      </w:pPr>
      <w:r>
        <w:rPr>
          <w:rFonts w:hint="eastAsia"/>
          <w:color w:val="auto"/>
          <w:sz w:val="24"/>
        </w:rPr>
        <w:t>（1）全面整地</w:t>
      </w:r>
    </w:p>
    <w:p>
      <w:pPr>
        <w:spacing w:line="360" w:lineRule="auto"/>
        <w:ind w:firstLine="480" w:firstLineChars="200"/>
        <w:contextualSpacing/>
        <w:rPr>
          <w:color w:val="auto"/>
          <w:sz w:val="24"/>
        </w:rPr>
      </w:pPr>
      <w:r>
        <w:rPr>
          <w:rFonts w:hint="eastAsia"/>
          <w:color w:val="auto"/>
          <w:sz w:val="24"/>
        </w:rPr>
        <w:t>主体设计施工结束后对该区域进行整治，整地面积</w:t>
      </w:r>
      <w:r>
        <w:rPr>
          <w:color w:val="auto"/>
          <w:sz w:val="24"/>
        </w:rPr>
        <w:t>1.19hm</w:t>
      </w:r>
      <w:r>
        <w:rPr>
          <w:color w:val="auto"/>
          <w:sz w:val="24"/>
          <w:vertAlign w:val="superscript"/>
        </w:rPr>
        <w:t>2</w:t>
      </w:r>
      <w:r>
        <w:rPr>
          <w:rFonts w:hint="eastAsia"/>
          <w:color w:val="auto"/>
          <w:sz w:val="24"/>
        </w:rPr>
        <w:t>。</w:t>
      </w:r>
    </w:p>
    <w:p>
      <w:pPr>
        <w:spacing w:line="360" w:lineRule="auto"/>
        <w:ind w:firstLine="480" w:firstLineChars="200"/>
        <w:contextualSpacing/>
        <w:rPr>
          <w:color w:val="auto"/>
          <w:sz w:val="24"/>
        </w:rPr>
      </w:pPr>
      <w:r>
        <w:rPr>
          <w:rFonts w:hint="eastAsia"/>
          <w:color w:val="auto"/>
          <w:sz w:val="24"/>
        </w:rPr>
        <w:t>2</w:t>
      </w:r>
      <w:r>
        <w:rPr>
          <w:color w:val="auto"/>
          <w:sz w:val="24"/>
        </w:rPr>
        <w:t>、</w:t>
      </w:r>
      <w:r>
        <w:rPr>
          <w:rFonts w:hint="eastAsia"/>
          <w:color w:val="auto"/>
          <w:sz w:val="24"/>
        </w:rPr>
        <w:t>植物措施</w:t>
      </w:r>
    </w:p>
    <w:p>
      <w:pPr>
        <w:spacing w:line="360" w:lineRule="auto"/>
        <w:ind w:firstLine="480" w:firstLineChars="200"/>
        <w:contextualSpacing/>
        <w:rPr>
          <w:color w:val="auto"/>
          <w:sz w:val="24"/>
        </w:rPr>
      </w:pPr>
      <w:r>
        <w:rPr>
          <w:rFonts w:hint="eastAsia"/>
          <w:color w:val="auto"/>
          <w:sz w:val="24"/>
        </w:rPr>
        <w:t>（1）撒播草籽</w:t>
      </w:r>
    </w:p>
    <w:p>
      <w:pPr>
        <w:spacing w:line="360" w:lineRule="auto"/>
        <w:ind w:firstLine="480" w:firstLineChars="200"/>
        <w:contextualSpacing/>
        <w:rPr>
          <w:color w:val="auto"/>
          <w:sz w:val="24"/>
        </w:rPr>
      </w:pPr>
      <w:r>
        <w:rPr>
          <w:rFonts w:hint="eastAsia"/>
          <w:color w:val="auto"/>
          <w:sz w:val="24"/>
        </w:rPr>
        <w:t>主体设计对施工扰动进行撒播草籽绿化</w:t>
      </w:r>
      <w:r>
        <w:rPr>
          <w:color w:val="auto"/>
          <w:sz w:val="24"/>
        </w:rPr>
        <w:t>，草种用量80kg/hm</w:t>
      </w:r>
      <w:r>
        <w:rPr>
          <w:color w:val="auto"/>
          <w:sz w:val="24"/>
          <w:vertAlign w:val="superscript"/>
        </w:rPr>
        <w:t>2</w:t>
      </w:r>
      <w:r>
        <w:rPr>
          <w:rFonts w:hint="eastAsia"/>
          <w:color w:val="auto"/>
          <w:sz w:val="24"/>
        </w:rPr>
        <w:t>，撒播</w:t>
      </w:r>
      <w:r>
        <w:rPr>
          <w:color w:val="auto"/>
          <w:sz w:val="24"/>
        </w:rPr>
        <w:t>面积1.19hm</w:t>
      </w:r>
      <w:r>
        <w:rPr>
          <w:color w:val="auto"/>
          <w:sz w:val="24"/>
          <w:vertAlign w:val="superscript"/>
        </w:rPr>
        <w:t>2</w:t>
      </w:r>
      <w:r>
        <w:rPr>
          <w:rFonts w:hint="eastAsia"/>
          <w:color w:val="auto"/>
          <w:sz w:val="24"/>
        </w:rPr>
        <w:t>。</w:t>
      </w:r>
    </w:p>
    <w:p>
      <w:pPr>
        <w:spacing w:line="360" w:lineRule="auto"/>
        <w:ind w:firstLine="480" w:firstLineChars="200"/>
        <w:contextualSpacing/>
        <w:rPr>
          <w:color w:val="auto"/>
          <w:sz w:val="24"/>
        </w:rPr>
      </w:pPr>
      <w:r>
        <w:rPr>
          <w:color w:val="auto"/>
          <w:sz w:val="24"/>
        </w:rPr>
        <w:t>分析与评价：</w:t>
      </w:r>
      <w:r>
        <w:rPr>
          <w:rFonts w:hint="eastAsia"/>
          <w:color w:val="auto"/>
          <w:sz w:val="24"/>
        </w:rPr>
        <w:t>全面整地</w:t>
      </w:r>
      <w:r>
        <w:rPr>
          <w:color w:val="auto"/>
          <w:sz w:val="24"/>
        </w:rPr>
        <w:t>以及绿化工程措施，</w:t>
      </w:r>
      <w:r>
        <w:rPr>
          <w:rFonts w:hint="eastAsia"/>
          <w:color w:val="auto"/>
          <w:sz w:val="24"/>
        </w:rPr>
        <w:t>可减轻裸露地表水土流失，</w:t>
      </w:r>
      <w:r>
        <w:rPr>
          <w:color w:val="auto"/>
          <w:sz w:val="24"/>
        </w:rPr>
        <w:t>满足水土保持要求。</w:t>
      </w:r>
    </w:p>
    <w:p>
      <w:pPr>
        <w:spacing w:line="360" w:lineRule="auto"/>
        <w:ind w:firstLine="480" w:firstLineChars="200"/>
        <w:contextualSpacing/>
        <w:rPr>
          <w:color w:val="auto"/>
          <w:sz w:val="24"/>
        </w:rPr>
      </w:pPr>
      <w:r>
        <w:rPr>
          <w:color w:val="auto"/>
          <w:sz w:val="24"/>
        </w:rPr>
        <w:t>3</w:t>
      </w:r>
      <w:r>
        <w:rPr>
          <w:rFonts w:hint="eastAsia"/>
          <w:color w:val="auto"/>
          <w:sz w:val="24"/>
        </w:rPr>
        <w:t>、临时措施</w:t>
      </w:r>
    </w:p>
    <w:p>
      <w:pPr>
        <w:spacing w:line="360" w:lineRule="auto"/>
        <w:ind w:firstLine="480" w:firstLineChars="200"/>
        <w:contextualSpacing/>
        <w:rPr>
          <w:color w:val="auto"/>
          <w:sz w:val="24"/>
        </w:rPr>
      </w:pPr>
      <w:r>
        <w:rPr>
          <w:rFonts w:hint="eastAsia"/>
          <w:color w:val="auto"/>
          <w:sz w:val="24"/>
        </w:rPr>
        <w:t>（1）临时苫盖及拆除</w:t>
      </w:r>
    </w:p>
    <w:p>
      <w:pPr>
        <w:spacing w:line="360" w:lineRule="auto"/>
        <w:ind w:firstLine="480" w:firstLineChars="200"/>
        <w:contextualSpacing/>
        <w:rPr>
          <w:bCs/>
          <w:color w:val="auto"/>
          <w:sz w:val="24"/>
        </w:rPr>
      </w:pPr>
      <w:r>
        <w:rPr>
          <w:rFonts w:hint="eastAsia"/>
          <w:bCs/>
          <w:color w:val="auto"/>
          <w:sz w:val="24"/>
        </w:rPr>
        <w:t>主体设计管沟土方沿一侧堆放，施工期间进行苫盖，苫盖面积</w:t>
      </w:r>
      <w:r>
        <w:rPr>
          <w:bCs/>
          <w:color w:val="auto"/>
          <w:sz w:val="24"/>
        </w:rPr>
        <w:t>38600m</w:t>
      </w:r>
      <w:r>
        <w:rPr>
          <w:bCs/>
          <w:color w:val="auto"/>
          <w:sz w:val="24"/>
          <w:vertAlign w:val="superscript"/>
        </w:rPr>
        <w:t>2</w:t>
      </w:r>
      <w:r>
        <w:rPr>
          <w:bCs/>
          <w:color w:val="auto"/>
          <w:sz w:val="24"/>
        </w:rPr>
        <w:t>。</w:t>
      </w:r>
    </w:p>
    <w:p>
      <w:pPr>
        <w:spacing w:line="360" w:lineRule="auto"/>
        <w:ind w:firstLine="480" w:firstLineChars="200"/>
        <w:contextualSpacing/>
        <w:rPr>
          <w:color w:val="auto"/>
          <w:sz w:val="24"/>
        </w:rPr>
      </w:pPr>
      <w:r>
        <w:rPr>
          <w:color w:val="auto"/>
          <w:sz w:val="24"/>
        </w:rPr>
        <w:t>分析与评价：</w:t>
      </w:r>
      <w:r>
        <w:rPr>
          <w:rFonts w:hint="eastAsia"/>
          <w:color w:val="auto"/>
          <w:sz w:val="24"/>
        </w:rPr>
        <w:t>苫布覆盖可避免雨水对堆置土方的冲刷</w:t>
      </w:r>
      <w:r>
        <w:rPr>
          <w:color w:val="auto"/>
          <w:sz w:val="24"/>
        </w:rPr>
        <w:t>，</w:t>
      </w:r>
      <w:r>
        <w:rPr>
          <w:rFonts w:hint="eastAsia"/>
          <w:color w:val="auto"/>
          <w:sz w:val="24"/>
        </w:rPr>
        <w:t>防止水土流失，</w:t>
      </w:r>
      <w:r>
        <w:rPr>
          <w:color w:val="auto"/>
          <w:sz w:val="24"/>
        </w:rPr>
        <w:t>满足水土保持措施的要求，界定为水土保持措施。</w:t>
      </w:r>
    </w:p>
    <w:p>
      <w:pPr>
        <w:spacing w:line="360" w:lineRule="auto"/>
        <w:ind w:firstLine="480" w:firstLineChars="200"/>
        <w:contextualSpacing/>
        <w:rPr>
          <w:color w:val="auto"/>
          <w:sz w:val="24"/>
        </w:rPr>
      </w:pPr>
      <w:r>
        <w:rPr>
          <w:rFonts w:hint="eastAsia"/>
          <w:color w:val="auto"/>
          <w:sz w:val="24"/>
        </w:rPr>
        <w:t>五、施工生产区</w:t>
      </w:r>
    </w:p>
    <w:p>
      <w:pPr>
        <w:spacing w:line="360" w:lineRule="auto"/>
        <w:ind w:firstLine="480" w:firstLineChars="200"/>
        <w:contextualSpacing/>
        <w:rPr>
          <w:color w:val="auto"/>
          <w:sz w:val="24"/>
        </w:rPr>
      </w:pPr>
      <w:r>
        <w:rPr>
          <w:rFonts w:hint="eastAsia"/>
          <w:color w:val="auto"/>
          <w:sz w:val="24"/>
        </w:rPr>
        <w:t>1、工程措施</w:t>
      </w:r>
    </w:p>
    <w:p>
      <w:pPr>
        <w:spacing w:line="360" w:lineRule="auto"/>
        <w:ind w:firstLine="480" w:firstLineChars="200"/>
        <w:contextualSpacing/>
        <w:rPr>
          <w:color w:val="auto"/>
          <w:sz w:val="24"/>
        </w:rPr>
      </w:pPr>
      <w:r>
        <w:rPr>
          <w:rFonts w:hint="eastAsia"/>
          <w:color w:val="auto"/>
          <w:sz w:val="24"/>
        </w:rPr>
        <w:t>（1）全面整地</w:t>
      </w:r>
    </w:p>
    <w:p>
      <w:pPr>
        <w:spacing w:line="360" w:lineRule="auto"/>
        <w:ind w:firstLine="480" w:firstLineChars="200"/>
        <w:contextualSpacing/>
        <w:rPr>
          <w:color w:val="auto"/>
          <w:sz w:val="24"/>
        </w:rPr>
      </w:pPr>
      <w:r>
        <w:rPr>
          <w:rFonts w:hint="eastAsia"/>
          <w:color w:val="auto"/>
          <w:sz w:val="24"/>
        </w:rPr>
        <w:t>该区域临时占用道路地面硬化区和绿化区，主体设计施工结束后对该区域进行整治，恢复成原有规划内容，整地面积</w:t>
      </w:r>
      <w:r>
        <w:rPr>
          <w:color w:val="auto"/>
          <w:sz w:val="24"/>
        </w:rPr>
        <w:t>0.10hm</w:t>
      </w:r>
      <w:r>
        <w:rPr>
          <w:color w:val="auto"/>
          <w:sz w:val="24"/>
          <w:vertAlign w:val="superscript"/>
        </w:rPr>
        <w:t>2</w:t>
      </w:r>
      <w:r>
        <w:rPr>
          <w:rFonts w:hint="eastAsia"/>
          <w:color w:val="auto"/>
          <w:sz w:val="24"/>
        </w:rPr>
        <w:t>。</w:t>
      </w:r>
    </w:p>
    <w:p>
      <w:pPr>
        <w:spacing w:line="360" w:lineRule="auto"/>
        <w:contextualSpacing/>
        <w:outlineLvl w:val="1"/>
        <w:rPr>
          <w:b/>
          <w:bCs/>
          <w:color w:val="auto"/>
          <w:sz w:val="30"/>
          <w:szCs w:val="30"/>
        </w:rPr>
      </w:pPr>
      <w:bookmarkStart w:id="99" w:name="_Toc145530057"/>
      <w:r>
        <w:rPr>
          <w:b/>
          <w:bCs/>
          <w:color w:val="auto"/>
          <w:sz w:val="30"/>
          <w:szCs w:val="30"/>
        </w:rPr>
        <w:t>3.3主体工程设计中水土保持措施界定</w:t>
      </w:r>
      <w:bookmarkEnd w:id="99"/>
    </w:p>
    <w:p>
      <w:pPr>
        <w:pStyle w:val="98"/>
        <w:spacing w:line="360" w:lineRule="auto"/>
        <w:ind w:firstLine="480" w:firstLineChars="200"/>
        <w:contextualSpacing/>
        <w:rPr>
          <w:rFonts w:ascii="仿宋_GB2312" w:eastAsia="仿宋_GB2312"/>
          <w:color w:val="auto"/>
          <w:sz w:val="24"/>
        </w:rPr>
      </w:pPr>
      <w:r>
        <w:rPr>
          <w:rFonts w:hint="eastAsia" w:ascii="仿宋_GB2312" w:eastAsia="仿宋_GB2312"/>
          <w:color w:val="auto"/>
          <w:sz w:val="24"/>
        </w:rPr>
        <w:t>1、主体工程中纳入本方案的水土保持措施</w:t>
      </w:r>
    </w:p>
    <w:p>
      <w:pPr>
        <w:spacing w:line="360" w:lineRule="auto"/>
        <w:ind w:firstLine="480" w:firstLineChars="200"/>
        <w:contextualSpacing/>
        <w:rPr>
          <w:color w:val="auto"/>
          <w:sz w:val="24"/>
        </w:rPr>
      </w:pPr>
      <w:r>
        <w:rPr>
          <w:color w:val="auto"/>
          <w:sz w:val="24"/>
        </w:rPr>
        <w:t>通过对项目主体设计中的水土保持工程进行界定，本方案将主体工程设计中具有水土保持功能的工程量进行汇总，见表3.3-1</w:t>
      </w:r>
      <w:r>
        <w:rPr>
          <w:rFonts w:hint="eastAsia"/>
          <w:color w:val="auto"/>
          <w:sz w:val="24"/>
        </w:rPr>
        <w:t>。</w:t>
      </w:r>
    </w:p>
    <w:p>
      <w:pPr>
        <w:pStyle w:val="11"/>
        <w:adjustRightInd w:val="0"/>
        <w:snapToGrid w:val="0"/>
        <w:spacing w:after="0" w:line="300" w:lineRule="auto"/>
        <w:contextualSpacing/>
        <w:jc w:val="center"/>
        <w:rPr>
          <w:b/>
          <w:color w:val="auto"/>
          <w:sz w:val="21"/>
          <w:szCs w:val="21"/>
        </w:rPr>
      </w:pPr>
      <w:r>
        <w:rPr>
          <w:rFonts w:hint="eastAsia"/>
          <w:b/>
          <w:color w:val="auto"/>
          <w:sz w:val="21"/>
          <w:szCs w:val="21"/>
        </w:rPr>
        <w:t>表</w:t>
      </w:r>
      <w:r>
        <w:rPr>
          <w:b/>
          <w:color w:val="auto"/>
          <w:sz w:val="21"/>
          <w:szCs w:val="21"/>
        </w:rPr>
        <w:t>3.3-1 主体工程设计中水土保持工程量</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769"/>
        <w:gridCol w:w="1785"/>
        <w:gridCol w:w="850"/>
        <w:gridCol w:w="992"/>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shd w:val="clear" w:color="auto" w:fill="auto"/>
            <w:vAlign w:val="center"/>
          </w:tcPr>
          <w:p>
            <w:pPr>
              <w:adjustRightInd w:val="0"/>
              <w:snapToGrid w:val="0"/>
              <w:contextualSpacing/>
              <w:jc w:val="center"/>
              <w:rPr>
                <w:color w:val="auto"/>
                <w:sz w:val="21"/>
                <w:szCs w:val="21"/>
              </w:rPr>
            </w:pPr>
            <w:r>
              <w:rPr>
                <w:color w:val="auto"/>
                <w:sz w:val="21"/>
                <w:szCs w:val="21"/>
              </w:rPr>
              <w:t>分区</w:t>
            </w:r>
          </w:p>
        </w:tc>
        <w:tc>
          <w:tcPr>
            <w:tcW w:w="1498" w:type="pct"/>
            <w:gridSpan w:val="2"/>
            <w:shd w:val="clear" w:color="auto" w:fill="auto"/>
            <w:vAlign w:val="center"/>
          </w:tcPr>
          <w:p>
            <w:pPr>
              <w:adjustRightInd w:val="0"/>
              <w:snapToGrid w:val="0"/>
              <w:contextualSpacing/>
              <w:jc w:val="center"/>
              <w:rPr>
                <w:color w:val="auto"/>
                <w:sz w:val="21"/>
                <w:szCs w:val="21"/>
              </w:rPr>
            </w:pPr>
            <w:r>
              <w:rPr>
                <w:color w:val="auto"/>
                <w:sz w:val="21"/>
                <w:szCs w:val="21"/>
              </w:rPr>
              <w:t>水土保持防治措施</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单位</w:t>
            </w:r>
          </w:p>
        </w:tc>
        <w:tc>
          <w:tcPr>
            <w:tcW w:w="582" w:type="pct"/>
            <w:shd w:val="clear" w:color="auto" w:fill="auto"/>
            <w:vAlign w:val="center"/>
          </w:tcPr>
          <w:p>
            <w:pPr>
              <w:adjustRightInd w:val="0"/>
              <w:snapToGrid w:val="0"/>
              <w:contextualSpacing/>
              <w:jc w:val="center"/>
              <w:rPr>
                <w:color w:val="auto"/>
                <w:sz w:val="21"/>
                <w:szCs w:val="21"/>
              </w:rPr>
            </w:pPr>
            <w:r>
              <w:rPr>
                <w:color w:val="auto"/>
                <w:sz w:val="21"/>
                <w:szCs w:val="21"/>
              </w:rPr>
              <w:t>工程量</w:t>
            </w:r>
          </w:p>
        </w:tc>
        <w:tc>
          <w:tcPr>
            <w:tcW w:w="749" w:type="pct"/>
            <w:shd w:val="clear" w:color="auto" w:fill="auto"/>
            <w:vAlign w:val="center"/>
          </w:tcPr>
          <w:p>
            <w:pPr>
              <w:adjustRightInd w:val="0"/>
              <w:snapToGrid w:val="0"/>
              <w:contextualSpacing/>
              <w:jc w:val="center"/>
              <w:rPr>
                <w:color w:val="auto"/>
                <w:sz w:val="21"/>
                <w:szCs w:val="21"/>
              </w:rPr>
            </w:pPr>
            <w:r>
              <w:rPr>
                <w:color w:val="auto"/>
                <w:sz w:val="21"/>
                <w:szCs w:val="21"/>
              </w:rPr>
              <w:t>投资（万元）</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建构筑物区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临时苫盖及拆除</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color w:val="auto"/>
                <w:sz w:val="21"/>
                <w:szCs w:val="21"/>
              </w:rPr>
              <w:t>5200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.42</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vAlign w:val="center"/>
          </w:tcPr>
          <w:p>
            <w:pPr>
              <w:adjustRightInd w:val="0"/>
              <w:snapToGrid w:val="0"/>
              <w:contextualSpacing/>
              <w:jc w:val="center"/>
              <w:rPr>
                <w:color w:val="auto"/>
                <w:sz w:val="21"/>
                <w:szCs w:val="21"/>
              </w:rPr>
            </w:pPr>
            <w:r>
              <w:rPr>
                <w:rFonts w:hint="eastAsia"/>
                <w:color w:val="auto"/>
                <w:sz w:val="21"/>
                <w:szCs w:val="21"/>
              </w:rPr>
              <w:t>道路地面硬化区</w:t>
            </w:r>
          </w:p>
        </w:tc>
        <w:tc>
          <w:tcPr>
            <w:tcW w:w="451" w:type="pct"/>
            <w:vMerge w:val="restart"/>
            <w:shd w:val="clear" w:color="auto" w:fill="auto"/>
            <w:vAlign w:val="center"/>
          </w:tcPr>
          <w:p>
            <w:pPr>
              <w:adjustRightInd w:val="0"/>
              <w:snapToGrid w:val="0"/>
              <w:contextualSpacing/>
              <w:jc w:val="center"/>
              <w:rPr>
                <w:color w:val="auto"/>
                <w:sz w:val="21"/>
                <w:szCs w:val="21"/>
              </w:rPr>
            </w:pPr>
            <w:r>
              <w:rPr>
                <w:rFonts w:hint="eastAsia"/>
                <w:color w:val="auto"/>
                <w:sz w:val="21"/>
                <w:szCs w:val="21"/>
              </w:rPr>
              <w:t>雨水管网</w:t>
            </w:r>
          </w:p>
        </w:tc>
        <w:tc>
          <w:tcPr>
            <w:tcW w:w="1047"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D</w:t>
            </w:r>
            <w:r>
              <w:rPr>
                <w:color w:val="auto"/>
                <w:sz w:val="21"/>
                <w:szCs w:val="21"/>
              </w:rPr>
              <w:t>1000</w:t>
            </w:r>
            <w:r>
              <w:rPr>
                <w:rFonts w:hint="eastAsia"/>
                <w:color w:val="auto"/>
                <w:sz w:val="21"/>
                <w:szCs w:val="21"/>
              </w:rPr>
              <w:t>混凝土管</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00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451" w:type="pct"/>
            <w:vMerge w:val="continue"/>
            <w:shd w:val="clear" w:color="auto" w:fill="auto"/>
            <w:vAlign w:val="center"/>
          </w:tcPr>
          <w:p>
            <w:pPr>
              <w:adjustRightInd w:val="0"/>
              <w:snapToGrid w:val="0"/>
              <w:contextualSpacing/>
              <w:jc w:val="center"/>
              <w:rPr>
                <w:color w:val="auto"/>
                <w:sz w:val="21"/>
                <w:szCs w:val="21"/>
              </w:rPr>
            </w:pPr>
          </w:p>
        </w:tc>
        <w:tc>
          <w:tcPr>
            <w:tcW w:w="1047"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D</w:t>
            </w:r>
            <w:r>
              <w:rPr>
                <w:color w:val="auto"/>
                <w:sz w:val="21"/>
                <w:szCs w:val="21"/>
              </w:rPr>
              <w:t>1200</w:t>
            </w:r>
            <w:r>
              <w:rPr>
                <w:rFonts w:hint="eastAsia"/>
                <w:color w:val="auto"/>
                <w:sz w:val="21"/>
                <w:szCs w:val="21"/>
              </w:rPr>
              <w:t>混凝土管</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49</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8</w:t>
            </w:r>
            <w:r>
              <w:rPr>
                <w:color w:val="auto"/>
                <w:sz w:val="21"/>
                <w:szCs w:val="21"/>
              </w:rPr>
              <w:t>.94</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451" w:type="pct"/>
            <w:vMerge w:val="continue"/>
            <w:shd w:val="clear" w:color="auto" w:fill="auto"/>
            <w:vAlign w:val="center"/>
          </w:tcPr>
          <w:p>
            <w:pPr>
              <w:adjustRightInd w:val="0"/>
              <w:snapToGrid w:val="0"/>
              <w:contextualSpacing/>
              <w:jc w:val="center"/>
              <w:rPr>
                <w:color w:val="auto"/>
                <w:sz w:val="21"/>
                <w:szCs w:val="21"/>
              </w:rPr>
            </w:pPr>
          </w:p>
        </w:tc>
        <w:tc>
          <w:tcPr>
            <w:tcW w:w="1047"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雨水井</w:t>
            </w:r>
          </w:p>
        </w:tc>
        <w:tc>
          <w:tcPr>
            <w:tcW w:w="49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座</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8</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0</w:t>
            </w:r>
            <w:r>
              <w:rPr>
                <w:color w:val="auto"/>
                <w:sz w:val="21"/>
                <w:szCs w:val="21"/>
              </w:rPr>
              <w:t>.80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排水明沟</w:t>
            </w:r>
          </w:p>
        </w:tc>
        <w:tc>
          <w:tcPr>
            <w:tcW w:w="49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m</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60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0.80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vAlign w:val="center"/>
          </w:tcPr>
          <w:p>
            <w:pPr>
              <w:adjustRightInd w:val="0"/>
              <w:snapToGrid w:val="0"/>
              <w:contextualSpacing/>
              <w:jc w:val="center"/>
              <w:rPr>
                <w:color w:val="auto"/>
                <w:sz w:val="21"/>
                <w:szCs w:val="21"/>
              </w:rPr>
            </w:pPr>
            <w:r>
              <w:rPr>
                <w:rFonts w:hint="eastAsia"/>
                <w:color w:val="auto"/>
                <w:sz w:val="21"/>
                <w:szCs w:val="21"/>
              </w:rPr>
              <w:t>绿化区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3.03</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铺设草坪</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.60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8</w:t>
            </w:r>
            <w:r>
              <w:rPr>
                <w:color w:val="auto"/>
                <w:sz w:val="21"/>
                <w:szCs w:val="21"/>
              </w:rPr>
              <w:t>.48</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vAlign w:val="center"/>
          </w:tcPr>
          <w:p>
            <w:pPr>
              <w:adjustRightInd w:val="0"/>
              <w:snapToGrid w:val="0"/>
              <w:contextualSpacing/>
              <w:jc w:val="center"/>
              <w:rPr>
                <w:color w:val="auto"/>
                <w:sz w:val="21"/>
                <w:szCs w:val="21"/>
              </w:rPr>
            </w:pPr>
            <w:r>
              <w:rPr>
                <w:color w:val="auto"/>
                <w:sz w:val="21"/>
                <w:szCs w:val="21"/>
              </w:rPr>
              <w:t>工业园区管网区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1.92</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撒播草籽</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.53</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临时苫盖及拆除</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color w:val="auto"/>
                <w:sz w:val="21"/>
                <w:szCs w:val="21"/>
              </w:rPr>
              <w:t>38600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7.99</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Align w:val="center"/>
          </w:tcPr>
          <w:p>
            <w:pPr>
              <w:adjustRightInd w:val="0"/>
              <w:snapToGrid w:val="0"/>
              <w:contextualSpacing/>
              <w:jc w:val="center"/>
              <w:rPr>
                <w:color w:val="auto"/>
                <w:sz w:val="21"/>
                <w:szCs w:val="21"/>
              </w:rPr>
            </w:pPr>
            <w:r>
              <w:rPr>
                <w:color w:val="auto"/>
                <w:sz w:val="21"/>
                <w:szCs w:val="21"/>
              </w:rPr>
              <w:t>施工生产区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0</w:t>
            </w:r>
            <w:r>
              <w:rPr>
                <w:color w:val="auto"/>
                <w:sz w:val="21"/>
                <w:szCs w:val="21"/>
              </w:rPr>
              <w:t>.10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0" w:type="pct"/>
            <w:gridSpan w:val="5"/>
            <w:shd w:val="clear" w:color="auto" w:fill="auto"/>
            <w:vAlign w:val="center"/>
          </w:tcPr>
          <w:p>
            <w:pPr>
              <w:adjustRightInd w:val="0"/>
              <w:snapToGrid w:val="0"/>
              <w:contextualSpacing/>
              <w:jc w:val="center"/>
              <w:rPr>
                <w:b/>
                <w:bCs/>
                <w:color w:val="auto"/>
                <w:sz w:val="21"/>
                <w:szCs w:val="21"/>
              </w:rPr>
            </w:pPr>
            <w:r>
              <w:rPr>
                <w:b/>
                <w:bCs/>
                <w:color w:val="auto"/>
                <w:sz w:val="21"/>
                <w:szCs w:val="21"/>
              </w:rPr>
              <w:t>合计</w:t>
            </w:r>
          </w:p>
        </w:tc>
        <w:tc>
          <w:tcPr>
            <w:tcW w:w="749" w:type="pct"/>
            <w:shd w:val="clear" w:color="auto" w:fill="auto"/>
            <w:vAlign w:val="center"/>
          </w:tcPr>
          <w:p>
            <w:pPr>
              <w:adjustRightInd w:val="0"/>
              <w:snapToGrid w:val="0"/>
              <w:contextualSpacing/>
              <w:jc w:val="center"/>
              <w:rPr>
                <w:b/>
                <w:bCs/>
                <w:color w:val="auto"/>
                <w:sz w:val="21"/>
                <w:szCs w:val="21"/>
              </w:rPr>
            </w:pPr>
            <w:r>
              <w:rPr>
                <w:rFonts w:hint="eastAsia"/>
                <w:b/>
                <w:bCs/>
                <w:color w:val="auto"/>
                <w:sz w:val="21"/>
                <w:szCs w:val="21"/>
              </w:rPr>
              <w:t>9</w:t>
            </w:r>
            <w:r>
              <w:rPr>
                <w:b/>
                <w:bCs/>
                <w:color w:val="auto"/>
                <w:sz w:val="21"/>
                <w:szCs w:val="21"/>
              </w:rPr>
              <w:t>3.02</w:t>
            </w:r>
          </w:p>
        </w:tc>
        <w:tc>
          <w:tcPr>
            <w:tcW w:w="861" w:type="pct"/>
            <w:vAlign w:val="center"/>
          </w:tcPr>
          <w:p>
            <w:pPr>
              <w:adjustRightInd w:val="0"/>
              <w:snapToGrid w:val="0"/>
              <w:contextualSpacing/>
              <w:jc w:val="center"/>
              <w:rPr>
                <w:color w:val="auto"/>
                <w:sz w:val="21"/>
                <w:szCs w:val="21"/>
              </w:rPr>
            </w:pPr>
          </w:p>
        </w:tc>
      </w:tr>
    </w:tbl>
    <w:p>
      <w:pPr>
        <w:spacing w:line="360" w:lineRule="auto"/>
        <w:ind w:firstLine="480" w:firstLineChars="200"/>
        <w:contextualSpacing/>
        <w:rPr>
          <w:color w:val="auto"/>
          <w:sz w:val="24"/>
        </w:rPr>
      </w:pPr>
      <w:r>
        <w:rPr>
          <w:rFonts w:hint="eastAsia"/>
          <w:color w:val="auto"/>
          <w:sz w:val="24"/>
        </w:rPr>
        <w:t>2、水土保持评价结果</w:t>
      </w:r>
    </w:p>
    <w:p>
      <w:pPr>
        <w:spacing w:line="360" w:lineRule="auto"/>
        <w:ind w:firstLine="480" w:firstLineChars="200"/>
        <w:contextualSpacing/>
        <w:rPr>
          <w:color w:val="auto"/>
          <w:sz w:val="24"/>
        </w:rPr>
      </w:pPr>
      <w:r>
        <w:rPr>
          <w:color w:val="auto"/>
          <w:sz w:val="24"/>
        </w:rPr>
        <w:t>本项目选址选线符合相关法律、法规及规范要求；不涉及全国水土保持监测网络中的水土保持监测站点，不涉及泥石流易发区、崩塌滑坡危险区和易引起严重水土流失的生态恶化区；项目区属于国家级重点治理区，可通过提高防治标准，优化施工工艺等要求，有效控制可能造成的水土流失。工程选址基本无制约性因素。</w:t>
      </w:r>
    </w:p>
    <w:p>
      <w:pPr>
        <w:spacing w:line="360" w:lineRule="auto"/>
        <w:ind w:firstLine="480" w:firstLineChars="200"/>
        <w:contextualSpacing/>
        <w:rPr>
          <w:color w:val="auto"/>
          <w:sz w:val="24"/>
        </w:rPr>
      </w:pPr>
      <w:r>
        <w:rPr>
          <w:color w:val="auto"/>
          <w:sz w:val="24"/>
        </w:rPr>
        <w:t>工程建设规划在满足主体工程工艺要的基础上，兼顾水土保持要求；施工组织不存在水土保持限制行为；挖填土石方来源去向明确，数量及施工时序符合工程实际，实现了土石方利用和调配的合理化和有序化；施工能力供应明确合理。</w:t>
      </w:r>
      <w:r>
        <w:rPr>
          <w:rFonts w:hint="eastAsia"/>
          <w:color w:val="auto"/>
          <w:sz w:val="24"/>
        </w:rPr>
        <w:t xml:space="preserve"> </w:t>
      </w:r>
      <w:r>
        <w:rPr>
          <w:color w:val="auto"/>
          <w:sz w:val="24"/>
        </w:rPr>
        <w:t xml:space="preserve">      </w:t>
      </w:r>
    </w:p>
    <w:p>
      <w:pPr>
        <w:spacing w:line="360" w:lineRule="auto"/>
        <w:ind w:firstLine="480" w:firstLineChars="200"/>
        <w:contextualSpacing/>
        <w:rPr>
          <w:color w:val="auto"/>
          <w:sz w:val="24"/>
        </w:rPr>
      </w:pPr>
      <w:r>
        <w:rPr>
          <w:color w:val="auto"/>
          <w:sz w:val="24"/>
        </w:rPr>
        <w:t>本方案对主体设计中具有水土保持功能的措施进行了分析评价，</w:t>
      </w:r>
      <w:r>
        <w:rPr>
          <w:rFonts w:hint="eastAsia"/>
          <w:color w:val="auto"/>
          <w:sz w:val="24"/>
        </w:rPr>
        <w:t>主体已考虑排水、全面整地、绿化及临时苫盖水土保持措施</w:t>
      </w:r>
      <w:r>
        <w:rPr>
          <w:color w:val="auto"/>
          <w:sz w:val="24"/>
        </w:rPr>
        <w:t>，</w:t>
      </w:r>
      <w:r>
        <w:rPr>
          <w:rFonts w:hint="eastAsia"/>
          <w:color w:val="auto"/>
          <w:sz w:val="24"/>
        </w:rPr>
        <w:t>基本能满足水土保持要求，且本项目主体工程已基本完工，仅道路和地面硬化、绿化工程还未实施，故本方案不再新增措施</w:t>
      </w:r>
      <w:r>
        <w:rPr>
          <w:color w:val="auto"/>
          <w:sz w:val="24"/>
        </w:rPr>
        <w:t>。</w:t>
      </w:r>
    </w:p>
    <w:p>
      <w:pPr>
        <w:spacing w:line="360" w:lineRule="auto"/>
        <w:ind w:firstLine="480" w:firstLineChars="200"/>
        <w:contextualSpacing/>
        <w:rPr>
          <w:color w:val="auto"/>
          <w:sz w:val="24"/>
        </w:rPr>
      </w:pPr>
      <w:r>
        <w:rPr>
          <w:color w:val="auto"/>
          <w:sz w:val="24"/>
        </w:rPr>
        <w:t>主体工程在落实各项水土保持措施和要求后，可满足水土保持要求，项目建设是可行的。</w:t>
      </w:r>
    </w:p>
    <w:bookmarkEnd w:id="98"/>
    <w:p>
      <w:pPr>
        <w:spacing w:line="300" w:lineRule="auto"/>
        <w:contextualSpacing/>
        <w:outlineLvl w:val="1"/>
        <w:rPr>
          <w:color w:val="auto"/>
          <w:sz w:val="24"/>
        </w:rPr>
        <w:sectPr>
          <w:headerReference r:id="rId14" w:type="default"/>
          <w:pgSz w:w="11906" w:h="16838"/>
          <w:pgMar w:top="1440" w:right="1800" w:bottom="1440" w:left="1800" w:header="851" w:footer="992" w:gutter="0"/>
          <w:cols w:space="425" w:num="1"/>
          <w:docGrid w:type="lines" w:linePitch="312" w:charSpace="0"/>
        </w:sectPr>
      </w:pPr>
    </w:p>
    <w:p>
      <w:pPr>
        <w:spacing w:line="360" w:lineRule="auto"/>
        <w:contextualSpacing/>
        <w:jc w:val="center"/>
        <w:outlineLvl w:val="0"/>
        <w:rPr>
          <w:b/>
          <w:bCs/>
          <w:color w:val="auto"/>
          <w:sz w:val="36"/>
          <w:szCs w:val="36"/>
        </w:rPr>
      </w:pPr>
      <w:bookmarkStart w:id="100" w:name="_Toc145530058"/>
      <w:bookmarkStart w:id="101" w:name="_Toc521945647"/>
      <w:bookmarkStart w:id="102" w:name="_Toc522647726"/>
      <w:r>
        <w:rPr>
          <w:b/>
          <w:bCs/>
          <w:color w:val="auto"/>
          <w:sz w:val="36"/>
          <w:szCs w:val="36"/>
        </w:rPr>
        <w:t>4 水土流失分析与预测</w:t>
      </w:r>
      <w:bookmarkEnd w:id="100"/>
      <w:bookmarkEnd w:id="101"/>
      <w:bookmarkEnd w:id="102"/>
    </w:p>
    <w:p>
      <w:pPr>
        <w:spacing w:line="360" w:lineRule="auto"/>
        <w:contextualSpacing/>
        <w:outlineLvl w:val="1"/>
        <w:rPr>
          <w:b/>
          <w:bCs/>
          <w:color w:val="auto"/>
          <w:sz w:val="30"/>
          <w:szCs w:val="30"/>
        </w:rPr>
      </w:pPr>
      <w:bookmarkStart w:id="103" w:name="_Toc145530059"/>
      <w:bookmarkStart w:id="104" w:name="_Toc522647732"/>
      <w:bookmarkStart w:id="105" w:name="_Toc479435210"/>
      <w:bookmarkStart w:id="106" w:name="_Toc521945658"/>
      <w:r>
        <w:rPr>
          <w:b/>
          <w:bCs/>
          <w:color w:val="auto"/>
          <w:sz w:val="30"/>
          <w:szCs w:val="30"/>
        </w:rPr>
        <w:t>4.1水土流失现状</w:t>
      </w:r>
      <w:bookmarkEnd w:id="103"/>
    </w:p>
    <w:p>
      <w:pPr>
        <w:spacing w:line="360" w:lineRule="auto"/>
        <w:ind w:firstLine="480" w:firstLineChars="200"/>
        <w:contextualSpacing/>
        <w:rPr>
          <w:color w:val="auto"/>
          <w:sz w:val="24"/>
        </w:rPr>
      </w:pPr>
      <w:r>
        <w:rPr>
          <w:color w:val="auto"/>
          <w:sz w:val="24"/>
        </w:rPr>
        <w:t>根据《黑龙江省水土保持公报（2021 年）》的相关数据可知，</w:t>
      </w:r>
      <w:r>
        <w:rPr>
          <w:rFonts w:hint="eastAsia"/>
          <w:color w:val="auto"/>
          <w:sz w:val="24"/>
        </w:rPr>
        <w:t>鸡西市麻山区</w:t>
      </w:r>
      <w:r>
        <w:rPr>
          <w:color w:val="auto"/>
          <w:sz w:val="24"/>
        </w:rPr>
        <w:t>土壤侵蚀类型为水力侵蚀，侵蚀强度以轻度为主。</w:t>
      </w:r>
      <w:r>
        <w:rPr>
          <w:rFonts w:hint="eastAsia"/>
          <w:color w:val="auto"/>
          <w:sz w:val="24"/>
        </w:rPr>
        <w:t>鸡西市麻山区</w:t>
      </w:r>
      <w:r>
        <w:rPr>
          <w:color w:val="auto"/>
          <w:sz w:val="24"/>
        </w:rPr>
        <w:t>水土流失面积为 214.22km</w:t>
      </w:r>
      <w:r>
        <w:rPr>
          <w:color w:val="auto"/>
          <w:sz w:val="24"/>
          <w:vertAlign w:val="superscript"/>
        </w:rPr>
        <w:t>2</w:t>
      </w:r>
      <w:r>
        <w:rPr>
          <w:color w:val="auto"/>
          <w:sz w:val="24"/>
        </w:rPr>
        <w:t>，按侵蚀强度分，轻度侵蚀面积 60.25km</w:t>
      </w:r>
      <w:r>
        <w:rPr>
          <w:color w:val="auto"/>
          <w:sz w:val="24"/>
          <w:vertAlign w:val="superscript"/>
        </w:rPr>
        <w:t>2</w:t>
      </w:r>
      <w:r>
        <w:rPr>
          <w:color w:val="auto"/>
          <w:sz w:val="24"/>
        </w:rPr>
        <w:t>，中侵蚀面积度 35.09km²， 强烈侵蚀面积 32.12km²，极强烈侵蚀面积 47.02km²，</w:t>
      </w:r>
      <w:r>
        <w:rPr>
          <w:rFonts w:hint="eastAsia"/>
          <w:color w:val="auto"/>
          <w:sz w:val="24"/>
        </w:rPr>
        <w:t>剧烈侵蚀</w:t>
      </w:r>
      <w:r>
        <w:rPr>
          <w:color w:val="auto"/>
          <w:sz w:val="24"/>
        </w:rPr>
        <w:t>面积39.74km²，详细侵蚀面积见表4.1-1。</w:t>
      </w:r>
    </w:p>
    <w:p>
      <w:pPr>
        <w:pStyle w:val="11"/>
        <w:adjustRightInd w:val="0"/>
        <w:snapToGrid w:val="0"/>
        <w:spacing w:after="0" w:line="300" w:lineRule="auto"/>
        <w:contextualSpacing/>
        <w:jc w:val="center"/>
        <w:rPr>
          <w:b/>
          <w:color w:val="auto"/>
          <w:sz w:val="21"/>
          <w:szCs w:val="21"/>
        </w:rPr>
      </w:pPr>
      <w:r>
        <w:rPr>
          <w:b/>
          <w:color w:val="auto"/>
          <w:sz w:val="21"/>
          <w:szCs w:val="21"/>
        </w:rPr>
        <w:t>表4.1-1    项目区水土流失情况</w:t>
      </w:r>
    </w:p>
    <w:tbl>
      <w:tblPr>
        <w:tblStyle w:val="103"/>
        <w:tblW w:w="84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4"/>
        <w:gridCol w:w="893"/>
        <w:gridCol w:w="993"/>
        <w:gridCol w:w="1134"/>
        <w:gridCol w:w="1275"/>
        <w:gridCol w:w="1276"/>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634"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项目</w:t>
            </w:r>
          </w:p>
        </w:tc>
        <w:tc>
          <w:tcPr>
            <w:tcW w:w="893"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合计</w:t>
            </w:r>
          </w:p>
        </w:tc>
        <w:tc>
          <w:tcPr>
            <w:tcW w:w="993"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轻度侵蚀</w:t>
            </w:r>
          </w:p>
        </w:tc>
        <w:tc>
          <w:tcPr>
            <w:tcW w:w="1134"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中度侵蚀</w:t>
            </w:r>
          </w:p>
        </w:tc>
        <w:tc>
          <w:tcPr>
            <w:tcW w:w="1275"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强烈侵蚀</w:t>
            </w:r>
          </w:p>
        </w:tc>
        <w:tc>
          <w:tcPr>
            <w:tcW w:w="1276"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极强烈侵蚀</w:t>
            </w:r>
          </w:p>
        </w:tc>
        <w:tc>
          <w:tcPr>
            <w:tcW w:w="1276" w:type="dxa"/>
            <w:vAlign w:val="center"/>
          </w:tcPr>
          <w:p>
            <w:pPr>
              <w:autoSpaceDE w:val="0"/>
              <w:autoSpaceDN w:val="0"/>
              <w:adjustRightInd w:val="0"/>
              <w:snapToGrid w:val="0"/>
              <w:contextualSpacing/>
              <w:jc w:val="center"/>
              <w:rPr>
                <w:rFonts w:ascii="Times New Roman" w:hAnsi="Times New Roman"/>
                <w:color w:val="auto"/>
                <w:sz w:val="21"/>
                <w:szCs w:val="21"/>
                <w:lang w:eastAsia="en-US"/>
              </w:rPr>
            </w:pPr>
            <w:r>
              <w:rPr>
                <w:rFonts w:ascii="Times New Roman" w:hAnsi="Times New Roman"/>
                <w:color w:val="auto"/>
                <w:sz w:val="21"/>
                <w:szCs w:val="21"/>
                <w:lang w:eastAsia="zh-CN"/>
              </w:rPr>
              <w:t>剧烈侵蚀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634"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侵蚀面积</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km²</w:t>
            </w:r>
            <w:r>
              <w:rPr>
                <w:rFonts w:hint="eastAsia" w:ascii="Times New Roman" w:hAnsi="Times New Roman"/>
                <w:color w:val="auto"/>
                <w:sz w:val="21"/>
                <w:szCs w:val="21"/>
                <w:lang w:eastAsia="zh-CN"/>
              </w:rPr>
              <w:t>）</w:t>
            </w:r>
          </w:p>
        </w:tc>
        <w:tc>
          <w:tcPr>
            <w:tcW w:w="893"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214.22</w:t>
            </w:r>
          </w:p>
        </w:tc>
        <w:tc>
          <w:tcPr>
            <w:tcW w:w="993"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60.25</w:t>
            </w:r>
          </w:p>
        </w:tc>
        <w:tc>
          <w:tcPr>
            <w:tcW w:w="1134"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35.09</w:t>
            </w:r>
          </w:p>
        </w:tc>
        <w:tc>
          <w:tcPr>
            <w:tcW w:w="1275"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3</w:t>
            </w:r>
            <w:r>
              <w:rPr>
                <w:rFonts w:ascii="Times New Roman" w:hAnsi="Times New Roman"/>
                <w:color w:val="auto"/>
                <w:sz w:val="21"/>
                <w:szCs w:val="21"/>
                <w:lang w:eastAsia="zh-CN"/>
              </w:rPr>
              <w:t>2.12</w:t>
            </w:r>
          </w:p>
        </w:tc>
        <w:tc>
          <w:tcPr>
            <w:tcW w:w="1276"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4</w:t>
            </w:r>
            <w:r>
              <w:rPr>
                <w:rFonts w:ascii="Times New Roman" w:hAnsi="Times New Roman"/>
                <w:color w:val="auto"/>
                <w:sz w:val="21"/>
                <w:szCs w:val="21"/>
                <w:lang w:eastAsia="zh-CN"/>
              </w:rPr>
              <w:t>7.02</w:t>
            </w:r>
          </w:p>
        </w:tc>
        <w:tc>
          <w:tcPr>
            <w:tcW w:w="1276"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3</w:t>
            </w:r>
            <w:r>
              <w:rPr>
                <w:rFonts w:ascii="Times New Roman" w:hAnsi="Times New Roman"/>
                <w:color w:val="auto"/>
                <w:sz w:val="21"/>
                <w:szCs w:val="21"/>
                <w:lang w:eastAsia="zh-CN"/>
              </w:rPr>
              <w:t>9.74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634"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所占比例</w:t>
            </w:r>
            <w:r>
              <w:rPr>
                <w:rFonts w:hint="eastAsia" w:ascii="Times New Roman" w:hAnsi="Times New Roman"/>
                <w:color w:val="auto"/>
                <w:sz w:val="21"/>
                <w:szCs w:val="21"/>
                <w:lang w:eastAsia="zh-CN"/>
              </w:rPr>
              <w:t>（%）</w:t>
            </w:r>
          </w:p>
        </w:tc>
        <w:tc>
          <w:tcPr>
            <w:tcW w:w="893"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100%</w:t>
            </w:r>
          </w:p>
        </w:tc>
        <w:tc>
          <w:tcPr>
            <w:tcW w:w="993"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2</w:t>
            </w:r>
            <w:r>
              <w:rPr>
                <w:rFonts w:ascii="Times New Roman" w:hAnsi="Times New Roman"/>
                <w:color w:val="auto"/>
                <w:sz w:val="21"/>
                <w:szCs w:val="21"/>
                <w:lang w:eastAsia="zh-CN"/>
              </w:rPr>
              <w:t>8.13</w:t>
            </w:r>
          </w:p>
        </w:tc>
        <w:tc>
          <w:tcPr>
            <w:tcW w:w="1134"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1</w:t>
            </w:r>
            <w:r>
              <w:rPr>
                <w:rFonts w:ascii="Times New Roman" w:hAnsi="Times New Roman"/>
                <w:color w:val="auto"/>
                <w:sz w:val="21"/>
                <w:szCs w:val="21"/>
                <w:lang w:eastAsia="zh-CN"/>
              </w:rPr>
              <w:t>6.38</w:t>
            </w:r>
          </w:p>
        </w:tc>
        <w:tc>
          <w:tcPr>
            <w:tcW w:w="1275"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1</w:t>
            </w:r>
            <w:r>
              <w:rPr>
                <w:rFonts w:ascii="Times New Roman" w:hAnsi="Times New Roman"/>
                <w:color w:val="auto"/>
                <w:sz w:val="21"/>
                <w:szCs w:val="21"/>
                <w:lang w:eastAsia="zh-CN"/>
              </w:rPr>
              <w:t>4.99</w:t>
            </w:r>
          </w:p>
        </w:tc>
        <w:tc>
          <w:tcPr>
            <w:tcW w:w="1276"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2</w:t>
            </w:r>
            <w:r>
              <w:rPr>
                <w:rFonts w:ascii="Times New Roman" w:hAnsi="Times New Roman"/>
                <w:color w:val="auto"/>
                <w:sz w:val="21"/>
                <w:szCs w:val="21"/>
                <w:lang w:eastAsia="zh-CN"/>
              </w:rPr>
              <w:t>1.95</w:t>
            </w:r>
          </w:p>
        </w:tc>
        <w:tc>
          <w:tcPr>
            <w:tcW w:w="1276" w:type="dxa"/>
            <w:vAlign w:val="center"/>
          </w:tcPr>
          <w:p>
            <w:pPr>
              <w:autoSpaceDE w:val="0"/>
              <w:autoSpaceDN w:val="0"/>
              <w:adjustRightInd w:val="0"/>
              <w:snapToGrid w:val="0"/>
              <w:contextualSpacing/>
              <w:jc w:val="center"/>
              <w:rPr>
                <w:rFonts w:ascii="Times New Roman" w:hAnsi="Times New Roman"/>
                <w:color w:val="auto"/>
                <w:sz w:val="21"/>
                <w:szCs w:val="21"/>
                <w:lang w:eastAsia="zh-CN"/>
              </w:rPr>
            </w:pPr>
            <w:r>
              <w:rPr>
                <w:rFonts w:ascii="Times New Roman" w:hAnsi="Times New Roman"/>
                <w:color w:val="auto"/>
                <w:sz w:val="21"/>
                <w:szCs w:val="21"/>
                <w:lang w:eastAsia="zh-CN"/>
              </w:rPr>
              <w:t>18.55</w:t>
            </w:r>
          </w:p>
        </w:tc>
      </w:tr>
    </w:tbl>
    <w:p>
      <w:pPr>
        <w:adjustRightInd w:val="0"/>
        <w:spacing w:before="156" w:beforeLines="50" w:line="360" w:lineRule="auto"/>
        <w:ind w:firstLine="480" w:firstLineChars="200"/>
        <w:contextualSpacing/>
        <w:rPr>
          <w:color w:val="auto"/>
          <w:sz w:val="24"/>
        </w:rPr>
      </w:pPr>
      <w:r>
        <w:rPr>
          <w:color w:val="auto"/>
          <w:sz w:val="24"/>
        </w:rPr>
        <w:t>根据《全国水土保持规划（2015-2030 年）》，项目区属于全国水土保持区划一级区划的东北黑土区，根据《黑龙江省水土保持规划（2015-2030 年）》项目</w:t>
      </w:r>
      <w:r>
        <w:rPr>
          <w:rFonts w:hint="eastAsia"/>
          <w:color w:val="auto"/>
          <w:sz w:val="24"/>
        </w:rPr>
        <w:t>所在地</w:t>
      </w:r>
      <w:r>
        <w:rPr>
          <w:color w:val="auto"/>
          <w:sz w:val="24"/>
        </w:rPr>
        <w:t>属</w:t>
      </w:r>
      <w:r>
        <w:rPr>
          <w:rFonts w:hint="eastAsia"/>
          <w:color w:val="auto"/>
          <w:sz w:val="24"/>
        </w:rPr>
        <w:t>国家</w:t>
      </w:r>
      <w:r>
        <w:rPr>
          <w:color w:val="auto"/>
          <w:sz w:val="24"/>
        </w:rPr>
        <w:t>级水土流失重点治理区。项目区现状水土流失类型为水力侵蚀，土壤侵蚀强度为</w:t>
      </w:r>
      <w:r>
        <w:rPr>
          <w:rFonts w:hint="eastAsia"/>
          <w:color w:val="auto"/>
          <w:sz w:val="24"/>
        </w:rPr>
        <w:t>微</w:t>
      </w:r>
      <w:r>
        <w:rPr>
          <w:color w:val="auto"/>
          <w:sz w:val="24"/>
        </w:rPr>
        <w:t>度，土壤侵蚀模数背景值为 400t/（km²·a），容许土壤流失量为 200t/（km²·a）。</w:t>
      </w:r>
    </w:p>
    <w:p>
      <w:pPr>
        <w:spacing w:line="360" w:lineRule="auto"/>
        <w:contextualSpacing/>
        <w:outlineLvl w:val="1"/>
        <w:rPr>
          <w:b/>
          <w:bCs/>
          <w:color w:val="auto"/>
          <w:sz w:val="30"/>
          <w:szCs w:val="30"/>
        </w:rPr>
      </w:pPr>
      <w:bookmarkStart w:id="107" w:name="_Toc145530060"/>
      <w:bookmarkStart w:id="108" w:name="_Toc521945648"/>
      <w:bookmarkStart w:id="109" w:name="_Toc522647727"/>
      <w:bookmarkStart w:id="110" w:name="_Toc486320434"/>
      <w:r>
        <w:rPr>
          <w:b/>
          <w:bCs/>
          <w:color w:val="auto"/>
          <w:sz w:val="30"/>
          <w:szCs w:val="30"/>
        </w:rPr>
        <w:t>4.2水土流失影响因素分析</w:t>
      </w:r>
      <w:bookmarkEnd w:id="107"/>
    </w:p>
    <w:p>
      <w:pPr>
        <w:spacing w:line="360" w:lineRule="auto"/>
        <w:ind w:firstLine="480" w:firstLineChars="200"/>
        <w:contextualSpacing/>
        <w:rPr>
          <w:snapToGrid w:val="0"/>
          <w:color w:val="auto"/>
          <w:kern w:val="0"/>
          <w:sz w:val="24"/>
        </w:rPr>
      </w:pPr>
      <w:r>
        <w:rPr>
          <w:color w:val="auto"/>
          <w:sz w:val="24"/>
        </w:rPr>
        <w:t>（1）</w:t>
      </w:r>
      <w:r>
        <w:rPr>
          <w:snapToGrid w:val="0"/>
          <w:color w:val="auto"/>
          <w:kern w:val="0"/>
          <w:sz w:val="24"/>
        </w:rPr>
        <w:t>三通一平的影响</w:t>
      </w:r>
    </w:p>
    <w:p>
      <w:pPr>
        <w:spacing w:line="360" w:lineRule="auto"/>
        <w:ind w:firstLine="480" w:firstLineChars="200"/>
        <w:contextualSpacing/>
        <w:rPr>
          <w:snapToGrid w:val="0"/>
          <w:color w:val="auto"/>
          <w:kern w:val="0"/>
          <w:sz w:val="24"/>
        </w:rPr>
      </w:pPr>
      <w:r>
        <w:rPr>
          <w:snapToGrid w:val="0"/>
          <w:color w:val="auto"/>
          <w:kern w:val="0"/>
          <w:sz w:val="24"/>
        </w:rPr>
        <w:t>施工活动对原地面进行严重的扰动和破坏，由于原有地表保护层遭到破坏，土壤变得更加疏松，再加上原有水文系统被完全改变，排水不畅且在强烈冲刷作用下形成更有利于水土流失产生的径流路径，因而该阶段在项目整个施工过程中是最易引发水土流失和水土流失强度最大的阶段。</w:t>
      </w:r>
    </w:p>
    <w:p>
      <w:pPr>
        <w:spacing w:line="360" w:lineRule="auto"/>
        <w:ind w:firstLine="480" w:firstLineChars="200"/>
        <w:contextualSpacing/>
        <w:rPr>
          <w:snapToGrid w:val="0"/>
          <w:color w:val="auto"/>
          <w:kern w:val="0"/>
          <w:sz w:val="24"/>
        </w:rPr>
      </w:pPr>
      <w:r>
        <w:rPr>
          <w:color w:val="auto"/>
          <w:sz w:val="24"/>
        </w:rPr>
        <w:t>（2）</w:t>
      </w:r>
      <w:r>
        <w:rPr>
          <w:snapToGrid w:val="0"/>
          <w:color w:val="auto"/>
          <w:kern w:val="0"/>
          <w:sz w:val="24"/>
        </w:rPr>
        <w:t>基础工程施工的影响</w:t>
      </w:r>
    </w:p>
    <w:p>
      <w:pPr>
        <w:spacing w:line="360" w:lineRule="auto"/>
        <w:ind w:firstLine="480" w:firstLineChars="200"/>
        <w:contextualSpacing/>
        <w:rPr>
          <w:snapToGrid w:val="0"/>
          <w:color w:val="auto"/>
          <w:kern w:val="0"/>
          <w:sz w:val="24"/>
        </w:rPr>
      </w:pPr>
      <w:r>
        <w:rPr>
          <w:snapToGrid w:val="0"/>
          <w:color w:val="auto"/>
          <w:kern w:val="0"/>
          <w:sz w:val="24"/>
        </w:rPr>
        <w:t>主要包括基础开挖处理、基础砌筑。基础开挖是最易引起水土流失的施工活动，随着开挖深度和开挖土方量的增加及开挖面增加，产生水土流失的可能性增加，水土流失强度也随之加强，而且基础开挖所产生的大量临时堆土更容易受到降雨径流的冲刷而形成水土流失。</w:t>
      </w:r>
    </w:p>
    <w:p>
      <w:pPr>
        <w:spacing w:line="360" w:lineRule="auto"/>
        <w:ind w:firstLine="480" w:firstLineChars="200"/>
        <w:contextualSpacing/>
        <w:rPr>
          <w:color w:val="auto"/>
          <w:sz w:val="24"/>
        </w:rPr>
      </w:pPr>
      <w:r>
        <w:rPr>
          <w:rFonts w:hint="eastAsia"/>
          <w:color w:val="auto"/>
          <w:sz w:val="24"/>
        </w:rPr>
        <w:t>（3）</w:t>
      </w:r>
      <w:r>
        <w:rPr>
          <w:color w:val="auto"/>
          <w:sz w:val="24"/>
        </w:rPr>
        <w:t>扰动地表面积</w:t>
      </w:r>
    </w:p>
    <w:p>
      <w:pPr>
        <w:spacing w:line="360" w:lineRule="auto"/>
        <w:ind w:firstLine="480" w:firstLineChars="200"/>
        <w:contextualSpacing/>
        <w:rPr>
          <w:color w:val="auto"/>
          <w:sz w:val="24"/>
        </w:rPr>
      </w:pPr>
      <w:r>
        <w:rPr>
          <w:rFonts w:hint="eastAsia"/>
          <w:color w:val="auto"/>
          <w:sz w:val="24"/>
        </w:rPr>
        <w:t>工程建设中将扰动地表</w:t>
      </w:r>
      <w:r>
        <w:rPr>
          <w:color w:val="auto"/>
          <w:sz w:val="24"/>
        </w:rPr>
        <w:t>面积4.19hm</w:t>
      </w:r>
      <w:r>
        <w:rPr>
          <w:color w:val="auto"/>
          <w:sz w:val="24"/>
          <w:vertAlign w:val="superscript"/>
        </w:rPr>
        <w:t>2</w:t>
      </w:r>
      <w:r>
        <w:rPr>
          <w:color w:val="auto"/>
          <w:sz w:val="24"/>
        </w:rPr>
        <w:t>。</w:t>
      </w:r>
    </w:p>
    <w:bookmarkEnd w:id="108"/>
    <w:bookmarkEnd w:id="109"/>
    <w:bookmarkEnd w:id="110"/>
    <w:p>
      <w:pPr>
        <w:spacing w:line="360" w:lineRule="auto"/>
        <w:contextualSpacing/>
        <w:outlineLvl w:val="1"/>
        <w:rPr>
          <w:b/>
          <w:bCs/>
          <w:color w:val="auto"/>
          <w:sz w:val="30"/>
          <w:szCs w:val="30"/>
        </w:rPr>
      </w:pPr>
      <w:bookmarkStart w:id="111" w:name="_Toc202325623"/>
      <w:bookmarkStart w:id="112" w:name="_Toc320623079"/>
      <w:bookmarkStart w:id="113" w:name="_Toc320625837"/>
      <w:bookmarkStart w:id="114" w:name="_Toc217804775"/>
      <w:bookmarkStart w:id="115" w:name="_Toc522647729"/>
      <w:bookmarkStart w:id="116" w:name="_Toc486320436"/>
      <w:bookmarkStart w:id="117" w:name="_Toc521945650"/>
      <w:bookmarkStart w:id="118" w:name="_Toc145530061"/>
      <w:r>
        <w:rPr>
          <w:b/>
          <w:bCs/>
          <w:color w:val="auto"/>
          <w:sz w:val="30"/>
          <w:szCs w:val="30"/>
        </w:rPr>
        <w:t>4.</w:t>
      </w:r>
      <w:bookmarkEnd w:id="111"/>
      <w:bookmarkEnd w:id="112"/>
      <w:bookmarkEnd w:id="113"/>
      <w:bookmarkEnd w:id="114"/>
      <w:r>
        <w:rPr>
          <w:b/>
          <w:bCs/>
          <w:color w:val="auto"/>
          <w:sz w:val="30"/>
          <w:szCs w:val="30"/>
        </w:rPr>
        <w:t>3</w:t>
      </w:r>
      <w:bookmarkEnd w:id="115"/>
      <w:bookmarkEnd w:id="116"/>
      <w:bookmarkEnd w:id="117"/>
      <w:r>
        <w:rPr>
          <w:b/>
          <w:bCs/>
          <w:color w:val="auto"/>
          <w:sz w:val="30"/>
          <w:szCs w:val="30"/>
        </w:rPr>
        <w:t>土壤流失量预测</w:t>
      </w:r>
      <w:bookmarkEnd w:id="118"/>
    </w:p>
    <w:p>
      <w:pPr>
        <w:spacing w:line="360" w:lineRule="auto"/>
        <w:contextualSpacing/>
        <w:outlineLvl w:val="2"/>
        <w:rPr>
          <w:b/>
          <w:bCs/>
          <w:color w:val="auto"/>
          <w:sz w:val="28"/>
          <w:szCs w:val="28"/>
        </w:rPr>
      </w:pPr>
      <w:bookmarkStart w:id="119" w:name="_Toc320623081"/>
      <w:bookmarkStart w:id="120" w:name="_Toc521945651"/>
      <w:r>
        <w:rPr>
          <w:b/>
          <w:bCs/>
          <w:color w:val="auto"/>
          <w:sz w:val="28"/>
          <w:szCs w:val="28"/>
        </w:rPr>
        <w:t>4.3.1</w:t>
      </w:r>
      <w:bookmarkEnd w:id="119"/>
      <w:r>
        <w:rPr>
          <w:b/>
          <w:bCs/>
          <w:color w:val="auto"/>
          <w:sz w:val="28"/>
          <w:szCs w:val="28"/>
        </w:rPr>
        <w:t>预测单元</w:t>
      </w:r>
      <w:bookmarkEnd w:id="120"/>
    </w:p>
    <w:p>
      <w:pPr>
        <w:spacing w:line="360" w:lineRule="auto"/>
        <w:ind w:firstLine="480" w:firstLineChars="200"/>
        <w:contextualSpacing/>
        <w:rPr>
          <w:color w:val="auto"/>
          <w:sz w:val="24"/>
        </w:rPr>
      </w:pPr>
      <w:r>
        <w:rPr>
          <w:color w:val="auto"/>
          <w:sz w:val="24"/>
        </w:rPr>
        <w:t>项目水土流失调查范围为项目建设区的占地范围，调查分区与防治分区基本一致，调查单元根据项目特点及扰动形式进行划分。根据本工程生产建设实际情况和对裸露地表变化、扰动的分析，工程调查范围为全部扰动并可能产生水土流失的区域。经统计分析，本工程扰动土地总面积为4.19hm</w:t>
      </w:r>
      <w:r>
        <w:rPr>
          <w:color w:val="auto"/>
          <w:sz w:val="24"/>
          <w:vertAlign w:val="superscript"/>
        </w:rPr>
        <w:t>2</w:t>
      </w:r>
      <w:r>
        <w:rPr>
          <w:color w:val="auto"/>
          <w:sz w:val="24"/>
        </w:rPr>
        <w:t>，因此本项目土壤流失预测面积为4.19hm</w:t>
      </w:r>
      <w:r>
        <w:rPr>
          <w:color w:val="auto"/>
          <w:sz w:val="24"/>
          <w:vertAlign w:val="superscript"/>
        </w:rPr>
        <w:t>2</w:t>
      </w:r>
      <w:r>
        <w:rPr>
          <w:color w:val="auto"/>
          <w:sz w:val="24"/>
        </w:rPr>
        <w:t>。</w:t>
      </w:r>
    </w:p>
    <w:p>
      <w:pPr>
        <w:spacing w:line="360" w:lineRule="auto"/>
        <w:ind w:firstLine="480" w:firstLineChars="200"/>
        <w:contextualSpacing/>
        <w:rPr>
          <w:color w:val="auto"/>
          <w:sz w:val="24"/>
        </w:rPr>
      </w:pPr>
      <w:r>
        <w:rPr>
          <w:color w:val="auto"/>
          <w:sz w:val="24"/>
        </w:rPr>
        <w:t>根据项目的特点及扰动单元的划分原则，按不同的分部分项工程占地，将项目水土流失扰动单元划分为建构筑物区、道路</w:t>
      </w:r>
      <w:r>
        <w:rPr>
          <w:rFonts w:hint="eastAsia"/>
          <w:color w:val="auto"/>
          <w:sz w:val="24"/>
        </w:rPr>
        <w:t>地面</w:t>
      </w:r>
      <w:r>
        <w:rPr>
          <w:color w:val="auto"/>
          <w:sz w:val="24"/>
        </w:rPr>
        <w:t>硬化区2 个预测单元。根据《生产建设项目土壤流失量测算导则》（SL773—2018)，</w:t>
      </w:r>
      <w:r>
        <w:rPr>
          <w:rFonts w:hint="eastAsia"/>
          <w:color w:val="auto"/>
          <w:sz w:val="24"/>
        </w:rPr>
        <w:t>本工程</w:t>
      </w:r>
      <w:r>
        <w:rPr>
          <w:color w:val="auto"/>
          <w:sz w:val="24"/>
        </w:rPr>
        <w:t>水力作用下土壤流失类型划分为一般扰动地表</w:t>
      </w:r>
      <w:r>
        <w:rPr>
          <w:rFonts w:hint="eastAsia"/>
          <w:color w:val="auto"/>
          <w:sz w:val="24"/>
        </w:rPr>
        <w:t>，详见表4</w:t>
      </w:r>
      <w:r>
        <w:rPr>
          <w:color w:val="auto"/>
          <w:sz w:val="24"/>
        </w:rPr>
        <w:t>.3-1</w:t>
      </w:r>
      <w:r>
        <w:rPr>
          <w:rFonts w:hint="eastAsia"/>
          <w:color w:val="auto"/>
          <w:sz w:val="24"/>
        </w:rPr>
        <w:t>。</w:t>
      </w:r>
    </w:p>
    <w:p>
      <w:pPr>
        <w:pStyle w:val="90"/>
        <w:ind w:firstLine="422"/>
        <w:contextualSpacing/>
        <w:jc w:val="center"/>
        <w:rPr>
          <w:b/>
          <w:bCs/>
          <w:color w:val="auto"/>
          <w:sz w:val="21"/>
          <w:szCs w:val="21"/>
        </w:rPr>
      </w:pPr>
      <w:bookmarkStart w:id="121" w:name="_Toc60685074"/>
      <w:bookmarkStart w:id="122" w:name="_Toc521945652"/>
      <w:bookmarkStart w:id="123" w:name="_Toc238572854"/>
      <w:bookmarkStart w:id="124" w:name="_Toc320623083"/>
      <w:r>
        <w:rPr>
          <w:b/>
          <w:bCs/>
          <w:color w:val="auto"/>
          <w:sz w:val="21"/>
          <w:szCs w:val="21"/>
        </w:rPr>
        <w:t>表4.3-1</w:t>
      </w:r>
      <w:r>
        <w:rPr>
          <w:color w:val="auto"/>
          <w:sz w:val="21"/>
          <w:szCs w:val="21"/>
        </w:rPr>
        <w:t xml:space="preserve">   </w:t>
      </w:r>
      <w:r>
        <w:rPr>
          <w:b/>
          <w:bCs/>
          <w:color w:val="auto"/>
          <w:sz w:val="21"/>
          <w:szCs w:val="21"/>
        </w:rPr>
        <w:t>一般扰动地表预测单元</w:t>
      </w:r>
      <w:r>
        <w:rPr>
          <w:b/>
          <w:bCs/>
          <w:color w:val="auto"/>
          <w:sz w:val="21"/>
          <w:szCs w:val="21"/>
        </w:rPr>
        <w:tab/>
      </w:r>
      <w:r>
        <w:rPr>
          <w:b/>
          <w:bCs/>
          <w:color w:val="auto"/>
          <w:sz w:val="21"/>
          <w:szCs w:val="21"/>
        </w:rPr>
        <w:t xml:space="preserve">   单位：hm²</w:t>
      </w:r>
    </w:p>
    <w:tbl>
      <w:tblPr>
        <w:tblStyle w:val="25"/>
        <w:tblW w:w="42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57"/>
        <w:gridCol w:w="2730"/>
        <w:gridCol w:w="2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1748" w:type="pct"/>
            <w:vAlign w:val="center"/>
          </w:tcPr>
          <w:p>
            <w:pPr>
              <w:autoSpaceDE w:val="0"/>
              <w:autoSpaceDN w:val="0"/>
              <w:adjustRightInd w:val="0"/>
              <w:snapToGrid w:val="0"/>
              <w:contextualSpacing/>
              <w:jc w:val="center"/>
              <w:rPr>
                <w:color w:val="auto"/>
                <w:sz w:val="21"/>
                <w:szCs w:val="21"/>
              </w:rPr>
            </w:pPr>
            <w:r>
              <w:rPr>
                <w:color w:val="auto"/>
                <w:sz w:val="21"/>
                <w:szCs w:val="21"/>
              </w:rPr>
              <w:t>扰动单元</w:t>
            </w:r>
          </w:p>
        </w:tc>
        <w:tc>
          <w:tcPr>
            <w:tcW w:w="1866" w:type="pct"/>
            <w:vAlign w:val="center"/>
          </w:tcPr>
          <w:p>
            <w:pPr>
              <w:autoSpaceDE w:val="0"/>
              <w:autoSpaceDN w:val="0"/>
              <w:adjustRightInd w:val="0"/>
              <w:snapToGrid w:val="0"/>
              <w:contextualSpacing/>
              <w:jc w:val="center"/>
              <w:rPr>
                <w:color w:val="auto"/>
                <w:sz w:val="21"/>
                <w:szCs w:val="21"/>
              </w:rPr>
            </w:pPr>
            <w:r>
              <w:rPr>
                <w:color w:val="auto"/>
                <w:sz w:val="21"/>
                <w:szCs w:val="21"/>
              </w:rPr>
              <w:t>扰动面积</w:t>
            </w:r>
          </w:p>
        </w:tc>
        <w:tc>
          <w:tcPr>
            <w:tcW w:w="1386" w:type="pct"/>
            <w:vAlign w:val="center"/>
          </w:tcPr>
          <w:p>
            <w:pPr>
              <w:autoSpaceDE w:val="0"/>
              <w:autoSpaceDN w:val="0"/>
              <w:adjustRightInd w:val="0"/>
              <w:snapToGrid w:val="0"/>
              <w:contextualSpacing/>
              <w:jc w:val="center"/>
              <w:rPr>
                <w:color w:val="auto"/>
                <w:sz w:val="21"/>
                <w:szCs w:val="21"/>
              </w:rPr>
            </w:pPr>
            <w:r>
              <w:rPr>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48" w:type="pct"/>
            <w:vAlign w:val="center"/>
          </w:tcPr>
          <w:p>
            <w:pPr>
              <w:autoSpaceDE w:val="0"/>
              <w:autoSpaceDN w:val="0"/>
              <w:adjustRightInd w:val="0"/>
              <w:snapToGrid w:val="0"/>
              <w:contextualSpacing/>
              <w:jc w:val="center"/>
              <w:rPr>
                <w:color w:val="auto"/>
                <w:sz w:val="21"/>
                <w:szCs w:val="21"/>
              </w:rPr>
            </w:pPr>
            <w:r>
              <w:rPr>
                <w:color w:val="auto"/>
                <w:sz w:val="21"/>
                <w:szCs w:val="21"/>
              </w:rPr>
              <w:t>建构筑物区</w:t>
            </w:r>
          </w:p>
        </w:tc>
        <w:tc>
          <w:tcPr>
            <w:tcW w:w="1866" w:type="pct"/>
            <w:vAlign w:val="center"/>
          </w:tcPr>
          <w:p>
            <w:pPr>
              <w:autoSpaceDE w:val="0"/>
              <w:autoSpaceDN w:val="0"/>
              <w:adjustRightInd w:val="0"/>
              <w:snapToGrid w:val="0"/>
              <w:contextualSpacing/>
              <w:jc w:val="center"/>
              <w:rPr>
                <w:color w:val="auto"/>
                <w:sz w:val="21"/>
                <w:szCs w:val="21"/>
              </w:rPr>
            </w:pPr>
            <w:r>
              <w:rPr>
                <w:rFonts w:hint="eastAsia"/>
                <w:bCs/>
                <w:color w:val="auto"/>
                <w:sz w:val="21"/>
                <w:szCs w:val="21"/>
              </w:rPr>
              <w:t>0</w:t>
            </w:r>
            <w:r>
              <w:rPr>
                <w:bCs/>
                <w:color w:val="auto"/>
                <w:sz w:val="21"/>
                <w:szCs w:val="21"/>
              </w:rPr>
              <w:t>.82</w:t>
            </w:r>
          </w:p>
        </w:tc>
        <w:tc>
          <w:tcPr>
            <w:tcW w:w="1386" w:type="pct"/>
            <w:vAlign w:val="center"/>
          </w:tcPr>
          <w:p>
            <w:pPr>
              <w:autoSpaceDE w:val="0"/>
              <w:autoSpaceDN w:val="0"/>
              <w:adjustRightInd w:val="0"/>
              <w:snapToGrid w:val="0"/>
              <w:contextualSpacing/>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48" w:type="pct"/>
            <w:vAlign w:val="center"/>
          </w:tcPr>
          <w:p>
            <w:pPr>
              <w:autoSpaceDE w:val="0"/>
              <w:autoSpaceDN w:val="0"/>
              <w:adjustRightInd w:val="0"/>
              <w:snapToGrid w:val="0"/>
              <w:contextualSpacing/>
              <w:jc w:val="center"/>
              <w:rPr>
                <w:color w:val="auto"/>
                <w:sz w:val="21"/>
                <w:szCs w:val="21"/>
              </w:rPr>
            </w:pPr>
            <w:r>
              <w:rPr>
                <w:color w:val="auto"/>
                <w:sz w:val="21"/>
                <w:szCs w:val="21"/>
              </w:rPr>
              <w:t>道路硬化区</w:t>
            </w:r>
          </w:p>
        </w:tc>
        <w:tc>
          <w:tcPr>
            <w:tcW w:w="1866" w:type="pct"/>
            <w:vAlign w:val="center"/>
          </w:tcPr>
          <w:p>
            <w:pPr>
              <w:autoSpaceDE w:val="0"/>
              <w:autoSpaceDN w:val="0"/>
              <w:adjustRightInd w:val="0"/>
              <w:snapToGrid w:val="0"/>
              <w:contextualSpacing/>
              <w:jc w:val="center"/>
              <w:rPr>
                <w:color w:val="auto"/>
                <w:sz w:val="21"/>
                <w:szCs w:val="21"/>
              </w:rPr>
            </w:pPr>
            <w:r>
              <w:rPr>
                <w:rFonts w:hint="eastAsia"/>
                <w:bCs/>
                <w:color w:val="auto"/>
                <w:sz w:val="21"/>
                <w:szCs w:val="21"/>
              </w:rPr>
              <w:t>0</w:t>
            </w:r>
            <w:r>
              <w:rPr>
                <w:bCs/>
                <w:color w:val="auto"/>
                <w:sz w:val="21"/>
                <w:szCs w:val="21"/>
              </w:rPr>
              <w:t>.58</w:t>
            </w:r>
          </w:p>
        </w:tc>
        <w:tc>
          <w:tcPr>
            <w:tcW w:w="1386" w:type="pct"/>
            <w:vAlign w:val="center"/>
          </w:tcPr>
          <w:p>
            <w:pPr>
              <w:autoSpaceDE w:val="0"/>
              <w:autoSpaceDN w:val="0"/>
              <w:adjustRightInd w:val="0"/>
              <w:snapToGrid w:val="0"/>
              <w:contextualSpacing/>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48" w:type="pct"/>
            <w:vAlign w:val="center"/>
          </w:tcPr>
          <w:p>
            <w:pPr>
              <w:autoSpaceDE w:val="0"/>
              <w:autoSpaceDN w:val="0"/>
              <w:adjustRightInd w:val="0"/>
              <w:snapToGrid w:val="0"/>
              <w:contextualSpacing/>
              <w:jc w:val="center"/>
              <w:rPr>
                <w:color w:val="auto"/>
                <w:sz w:val="21"/>
                <w:szCs w:val="21"/>
              </w:rPr>
            </w:pPr>
            <w:r>
              <w:rPr>
                <w:rFonts w:hint="eastAsia"/>
                <w:color w:val="auto"/>
                <w:sz w:val="21"/>
                <w:szCs w:val="21"/>
              </w:rPr>
              <w:t>绿化区</w:t>
            </w:r>
          </w:p>
        </w:tc>
        <w:tc>
          <w:tcPr>
            <w:tcW w:w="1866" w:type="pct"/>
            <w:vAlign w:val="center"/>
          </w:tcPr>
          <w:p>
            <w:pPr>
              <w:autoSpaceDE w:val="0"/>
              <w:autoSpaceDN w:val="0"/>
              <w:adjustRightInd w:val="0"/>
              <w:snapToGrid w:val="0"/>
              <w:contextualSpacing/>
              <w:jc w:val="center"/>
              <w:rPr>
                <w:color w:val="auto"/>
                <w:sz w:val="21"/>
                <w:szCs w:val="21"/>
              </w:rPr>
            </w:pPr>
            <w:r>
              <w:rPr>
                <w:rFonts w:hint="eastAsia"/>
                <w:color w:val="auto"/>
                <w:sz w:val="21"/>
                <w:szCs w:val="21"/>
              </w:rPr>
              <w:t>1</w:t>
            </w:r>
            <w:r>
              <w:rPr>
                <w:color w:val="auto"/>
                <w:sz w:val="21"/>
                <w:szCs w:val="21"/>
              </w:rPr>
              <w:t>.60</w:t>
            </w:r>
          </w:p>
        </w:tc>
        <w:tc>
          <w:tcPr>
            <w:tcW w:w="1386" w:type="pct"/>
            <w:vAlign w:val="center"/>
          </w:tcPr>
          <w:p>
            <w:pPr>
              <w:autoSpaceDE w:val="0"/>
              <w:autoSpaceDN w:val="0"/>
              <w:adjustRightInd w:val="0"/>
              <w:snapToGrid w:val="0"/>
              <w:contextualSpacing/>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48" w:type="pct"/>
            <w:vAlign w:val="center"/>
          </w:tcPr>
          <w:p>
            <w:pPr>
              <w:autoSpaceDE w:val="0"/>
              <w:autoSpaceDN w:val="0"/>
              <w:adjustRightInd w:val="0"/>
              <w:snapToGrid w:val="0"/>
              <w:contextualSpacing/>
              <w:jc w:val="center"/>
              <w:rPr>
                <w:color w:val="auto"/>
                <w:sz w:val="21"/>
                <w:szCs w:val="21"/>
              </w:rPr>
            </w:pPr>
            <w:r>
              <w:rPr>
                <w:rFonts w:hint="eastAsia"/>
                <w:color w:val="auto"/>
                <w:sz w:val="21"/>
                <w:szCs w:val="21"/>
              </w:rPr>
              <w:t>工业园区管网区</w:t>
            </w:r>
          </w:p>
        </w:tc>
        <w:tc>
          <w:tcPr>
            <w:tcW w:w="1866" w:type="pct"/>
            <w:vAlign w:val="center"/>
          </w:tcPr>
          <w:p>
            <w:pPr>
              <w:autoSpaceDE w:val="0"/>
              <w:autoSpaceDN w:val="0"/>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1386" w:type="pct"/>
            <w:vAlign w:val="center"/>
          </w:tcPr>
          <w:p>
            <w:pPr>
              <w:autoSpaceDE w:val="0"/>
              <w:autoSpaceDN w:val="0"/>
              <w:adjustRightInd w:val="0"/>
              <w:snapToGrid w:val="0"/>
              <w:contextualSpacing/>
              <w:jc w:val="center"/>
              <w:rPr>
                <w:color w:val="auto"/>
                <w:sz w:val="21"/>
                <w:szCs w:val="21"/>
              </w:rPr>
            </w:pPr>
          </w:p>
        </w:tc>
      </w:tr>
    </w:tbl>
    <w:p>
      <w:pPr>
        <w:autoSpaceDE w:val="0"/>
        <w:autoSpaceDN w:val="0"/>
        <w:adjustRightInd w:val="0"/>
        <w:snapToGrid w:val="0"/>
        <w:ind w:firstLine="630" w:firstLineChars="300"/>
        <w:contextualSpacing/>
        <w:rPr>
          <w:b/>
          <w:bCs/>
          <w:color w:val="auto"/>
          <w:sz w:val="24"/>
          <w:szCs w:val="16"/>
        </w:rPr>
      </w:pPr>
      <w:r>
        <w:rPr>
          <w:rFonts w:hint="eastAsia"/>
          <w:color w:val="auto"/>
          <w:sz w:val="21"/>
          <w:szCs w:val="21"/>
        </w:rPr>
        <w:t>注：施工生产区为重复占地，不再重复计列。</w:t>
      </w:r>
    </w:p>
    <w:p>
      <w:pPr>
        <w:spacing w:before="156" w:beforeLines="50" w:line="360" w:lineRule="auto"/>
        <w:contextualSpacing/>
        <w:outlineLvl w:val="2"/>
        <w:rPr>
          <w:b/>
          <w:bCs/>
          <w:color w:val="auto"/>
          <w:sz w:val="28"/>
          <w:szCs w:val="28"/>
        </w:rPr>
      </w:pPr>
      <w:r>
        <w:rPr>
          <w:b/>
          <w:bCs/>
          <w:color w:val="auto"/>
          <w:sz w:val="28"/>
          <w:szCs w:val="28"/>
        </w:rPr>
        <w:t>4.3.2预测时段</w:t>
      </w:r>
      <w:bookmarkEnd w:id="121"/>
      <w:bookmarkEnd w:id="122"/>
      <w:bookmarkEnd w:id="123"/>
      <w:bookmarkEnd w:id="124"/>
    </w:p>
    <w:p>
      <w:pPr>
        <w:adjustRightInd w:val="0"/>
        <w:snapToGrid w:val="0"/>
        <w:spacing w:line="360" w:lineRule="auto"/>
        <w:ind w:firstLine="480" w:firstLineChars="200"/>
        <w:contextualSpacing/>
        <w:rPr>
          <w:color w:val="auto"/>
          <w:sz w:val="24"/>
        </w:rPr>
      </w:pPr>
      <w:r>
        <w:rPr>
          <w:color w:val="auto"/>
          <w:sz w:val="24"/>
        </w:rPr>
        <w:t>本项目为新建建设类项目，水土流失预测时段划为</w:t>
      </w:r>
      <w:r>
        <w:rPr>
          <w:rFonts w:hint="eastAsia"/>
          <w:color w:val="auto"/>
          <w:sz w:val="24"/>
        </w:rPr>
        <w:t>施工</w:t>
      </w:r>
      <w:r>
        <w:rPr>
          <w:color w:val="auto"/>
          <w:sz w:val="24"/>
        </w:rPr>
        <w:t>期（包括施工准备期）</w:t>
      </w:r>
      <w:r>
        <w:rPr>
          <w:rFonts w:hint="eastAsia"/>
          <w:color w:val="auto"/>
          <w:sz w:val="24"/>
        </w:rPr>
        <w:t>和自然恢复期2个时段</w:t>
      </w:r>
      <w:r>
        <w:rPr>
          <w:color w:val="auto"/>
          <w:sz w:val="24"/>
        </w:rPr>
        <w:t>。</w:t>
      </w:r>
    </w:p>
    <w:p>
      <w:pPr>
        <w:adjustRightInd w:val="0"/>
        <w:snapToGrid w:val="0"/>
        <w:spacing w:line="360" w:lineRule="auto"/>
        <w:ind w:firstLine="480" w:firstLineChars="200"/>
        <w:contextualSpacing/>
        <w:rPr>
          <w:color w:val="auto"/>
          <w:sz w:val="24"/>
        </w:rPr>
      </w:pPr>
      <w:r>
        <w:rPr>
          <w:rFonts w:hint="eastAsia"/>
          <w:color w:val="auto"/>
          <w:sz w:val="24"/>
        </w:rPr>
        <w:t>（1）施工</w:t>
      </w:r>
      <w:r>
        <w:rPr>
          <w:color w:val="auto"/>
          <w:sz w:val="24"/>
        </w:rPr>
        <w:t>期（包括施工准备期）</w:t>
      </w:r>
      <w:r>
        <w:rPr>
          <w:rFonts w:hint="eastAsia"/>
          <w:color w:val="auto"/>
          <w:sz w:val="24"/>
        </w:rPr>
        <w:t>：</w:t>
      </w:r>
      <w:r>
        <w:rPr>
          <w:color w:val="auto"/>
          <w:sz w:val="24"/>
        </w:rPr>
        <w:t>本项目</w:t>
      </w:r>
      <w:r>
        <w:rPr>
          <w:rFonts w:hint="eastAsia"/>
          <w:color w:val="auto"/>
          <w:sz w:val="24"/>
        </w:rPr>
        <w:t>于</w:t>
      </w:r>
      <w:r>
        <w:rPr>
          <w:color w:val="auto"/>
          <w:sz w:val="24"/>
        </w:rPr>
        <w:t>2022年5月开工建设，</w:t>
      </w:r>
      <w:r>
        <w:rPr>
          <w:rFonts w:hint="eastAsia"/>
          <w:color w:val="auto"/>
          <w:sz w:val="24"/>
        </w:rPr>
        <w:t>计划</w:t>
      </w:r>
      <w:r>
        <w:rPr>
          <w:color w:val="auto"/>
          <w:sz w:val="24"/>
        </w:rPr>
        <w:t>2023年12月完工</w:t>
      </w:r>
      <w:r>
        <w:rPr>
          <w:rFonts w:hint="eastAsia"/>
          <w:color w:val="auto"/>
          <w:sz w:val="24"/>
        </w:rPr>
        <w:t>。项目区雨季为6</w:t>
      </w:r>
      <w:r>
        <w:rPr>
          <w:color w:val="auto"/>
          <w:sz w:val="24"/>
        </w:rPr>
        <w:t>~9</w:t>
      </w:r>
      <w:r>
        <w:rPr>
          <w:rFonts w:hint="eastAsia"/>
          <w:color w:val="auto"/>
          <w:sz w:val="24"/>
        </w:rPr>
        <w:t>月，施工预测时间按连续12个月为一年计，不足12个月，但达到一个雨季长度的，按一年；不足一个雨季长度的，按占雨季长度的比例计算，故本项目施工</w:t>
      </w:r>
      <w:r>
        <w:rPr>
          <w:color w:val="auto"/>
          <w:sz w:val="24"/>
        </w:rPr>
        <w:t>期水土流失预测时段为2.00</w:t>
      </w:r>
      <w:r>
        <w:rPr>
          <w:rFonts w:hint="eastAsia"/>
          <w:color w:val="auto"/>
          <w:sz w:val="24"/>
        </w:rPr>
        <w:t>a</w:t>
      </w:r>
      <w:r>
        <w:rPr>
          <w:color w:val="auto"/>
          <w:sz w:val="24"/>
        </w:rPr>
        <w:t>。</w:t>
      </w:r>
    </w:p>
    <w:p>
      <w:pPr>
        <w:adjustRightInd w:val="0"/>
        <w:snapToGrid w:val="0"/>
        <w:spacing w:line="360" w:lineRule="auto"/>
        <w:ind w:firstLine="480" w:firstLineChars="200"/>
        <w:contextualSpacing/>
        <w:rPr>
          <w:color w:val="auto"/>
          <w:sz w:val="24"/>
        </w:rPr>
      </w:pPr>
      <w:r>
        <w:rPr>
          <w:color w:val="auto"/>
          <w:sz w:val="24"/>
        </w:rPr>
        <w:t>（2）自然恢复期：施工扰动结束后，不采取水土保持措施的情况下，土壤侵蚀强度自然恢复到扰动前土壤侵蚀强度所需要的时间，应根据当地自然条件确定，本项目位于半湿润区，自然恢复期为3.0a。</w:t>
      </w:r>
    </w:p>
    <w:p>
      <w:pPr>
        <w:spacing w:line="360" w:lineRule="auto"/>
        <w:contextualSpacing/>
        <w:outlineLvl w:val="2"/>
        <w:rPr>
          <w:b/>
          <w:bCs/>
          <w:color w:val="auto"/>
          <w:sz w:val="28"/>
          <w:szCs w:val="28"/>
        </w:rPr>
      </w:pPr>
      <w:r>
        <w:rPr>
          <w:b/>
          <w:bCs/>
          <w:color w:val="auto"/>
          <w:sz w:val="28"/>
          <w:szCs w:val="28"/>
        </w:rPr>
        <w:t>4.3.3土壤侵蚀模数</w:t>
      </w:r>
    </w:p>
    <w:p>
      <w:pPr>
        <w:adjustRightInd w:val="0"/>
        <w:snapToGrid w:val="0"/>
        <w:spacing w:line="360" w:lineRule="auto"/>
        <w:contextualSpacing/>
        <w:outlineLvl w:val="2"/>
        <w:rPr>
          <w:b/>
          <w:bCs/>
          <w:color w:val="auto"/>
          <w:sz w:val="24"/>
        </w:rPr>
      </w:pPr>
      <w:r>
        <w:rPr>
          <w:b/>
          <w:bCs/>
          <w:color w:val="auto"/>
          <w:sz w:val="24"/>
        </w:rPr>
        <w:t>4.3.3.1项目区土壤流失背景值</w:t>
      </w:r>
    </w:p>
    <w:p>
      <w:pPr>
        <w:spacing w:line="360" w:lineRule="auto"/>
        <w:ind w:firstLine="480" w:firstLineChars="200"/>
        <w:contextualSpacing/>
        <w:rPr>
          <w:color w:val="auto"/>
          <w:sz w:val="24"/>
        </w:rPr>
      </w:pPr>
      <w:r>
        <w:rPr>
          <w:color w:val="auto"/>
          <w:sz w:val="24"/>
        </w:rPr>
        <w:t>根据</w:t>
      </w:r>
      <w:r>
        <w:rPr>
          <w:rFonts w:hint="eastAsia"/>
          <w:color w:val="auto"/>
          <w:sz w:val="24"/>
        </w:rPr>
        <w:t>项目区</w:t>
      </w:r>
      <w:r>
        <w:rPr>
          <w:color w:val="auto"/>
          <w:sz w:val="24"/>
        </w:rPr>
        <w:t>土壤侵蚀的背景资料，项目区水土流失类型为水力侵蚀，原生地貌是以轻度侵蚀为主。通过咨询当地水行政主管部门及实地调查，结合各预测区域的地形及下垫面等情况，确定工程建设区域水土流失土壤侵蚀模数背景值为400 t/km</w:t>
      </w:r>
      <w:r>
        <w:rPr>
          <w:color w:val="auto"/>
          <w:sz w:val="24"/>
          <w:vertAlign w:val="superscript"/>
        </w:rPr>
        <w:t>2</w:t>
      </w:r>
      <w:r>
        <w:rPr>
          <w:color w:val="auto"/>
          <w:sz w:val="24"/>
        </w:rPr>
        <w:t>·a。</w:t>
      </w:r>
    </w:p>
    <w:p>
      <w:pPr>
        <w:adjustRightInd w:val="0"/>
        <w:snapToGrid w:val="0"/>
        <w:spacing w:line="360" w:lineRule="auto"/>
        <w:contextualSpacing/>
        <w:outlineLvl w:val="2"/>
        <w:rPr>
          <w:b/>
          <w:bCs/>
          <w:color w:val="auto"/>
          <w:sz w:val="24"/>
        </w:rPr>
      </w:pPr>
      <w:r>
        <w:rPr>
          <w:b/>
          <w:bCs/>
          <w:color w:val="auto"/>
          <w:sz w:val="24"/>
        </w:rPr>
        <w:t>4.3.3.2建设期土壤侵蚀模数确定</w:t>
      </w:r>
    </w:p>
    <w:p>
      <w:pPr>
        <w:spacing w:line="360" w:lineRule="auto"/>
        <w:ind w:firstLine="480" w:firstLineChars="200"/>
        <w:contextualSpacing/>
        <w:rPr>
          <w:color w:val="auto"/>
          <w:sz w:val="24"/>
          <w:szCs w:val="21"/>
        </w:rPr>
      </w:pPr>
      <w:r>
        <w:rPr>
          <w:color w:val="auto"/>
          <w:sz w:val="24"/>
          <w:szCs w:val="21"/>
        </w:rPr>
        <w:t>根据《生产建设项目土壤流失量测算导则》（</w:t>
      </w:r>
      <w:r>
        <w:rPr>
          <w:rFonts w:eastAsia="Times New Roman"/>
          <w:color w:val="auto"/>
          <w:sz w:val="24"/>
          <w:szCs w:val="21"/>
        </w:rPr>
        <w:t>SL773-2018)</w:t>
      </w:r>
      <w:r>
        <w:rPr>
          <w:color w:val="auto"/>
          <w:sz w:val="24"/>
          <w:szCs w:val="21"/>
        </w:rPr>
        <w:t>，结合预测单元、预测时段划分，施工期土壤侵蚀模数按照实际施工情况确定相关类型公式测算指进行分析计算标值；自然恢复期根据植被恢复状态的变化，分</w:t>
      </w:r>
      <w:r>
        <w:rPr>
          <w:rFonts w:eastAsia="Times New Roman"/>
          <w:color w:val="auto"/>
          <w:sz w:val="24"/>
          <w:szCs w:val="21"/>
        </w:rPr>
        <w:t>3</w:t>
      </w:r>
      <w:r>
        <w:rPr>
          <w:color w:val="auto"/>
          <w:sz w:val="24"/>
          <w:szCs w:val="21"/>
        </w:rPr>
        <w:t>年确定自然恢复期的各扰动单位土壤侵蚀模数。</w:t>
      </w:r>
    </w:p>
    <w:p>
      <w:pPr>
        <w:pStyle w:val="90"/>
        <w:ind w:firstLine="480"/>
        <w:contextualSpacing/>
        <w:rPr>
          <w:color w:val="auto"/>
          <w:sz w:val="24"/>
          <w:szCs w:val="16"/>
        </w:rPr>
      </w:pPr>
      <w:r>
        <w:rPr>
          <w:rFonts w:hint="eastAsia"/>
          <w:color w:val="auto"/>
          <w:sz w:val="24"/>
          <w:szCs w:val="16"/>
        </w:rPr>
        <w:t>1、</w:t>
      </w:r>
      <w:r>
        <w:rPr>
          <w:color w:val="auto"/>
          <w:sz w:val="24"/>
          <w:szCs w:val="16"/>
        </w:rPr>
        <w:t>本项目地表翻扰型一般扰动地表土壤流失量测算按公式</w:t>
      </w:r>
      <w:r>
        <w:rPr>
          <w:rFonts w:hint="eastAsia" w:ascii="宋体" w:hAnsi="宋体" w:eastAsia="宋体" w:cs="宋体"/>
          <w:color w:val="auto"/>
          <w:sz w:val="24"/>
          <w:szCs w:val="16"/>
        </w:rPr>
        <w:t>①②</w:t>
      </w:r>
      <w:r>
        <w:rPr>
          <w:color w:val="auto"/>
          <w:sz w:val="24"/>
          <w:szCs w:val="16"/>
        </w:rPr>
        <w:t>计算：</w:t>
      </w:r>
    </w:p>
    <w:p>
      <w:pPr>
        <w:pStyle w:val="90"/>
        <w:ind w:firstLine="480"/>
        <w:contextualSpacing/>
        <w:rPr>
          <w:color w:val="auto"/>
          <w:sz w:val="24"/>
          <w:szCs w:val="16"/>
        </w:rPr>
      </w:pPr>
      <w:r>
        <w:rPr>
          <w:i/>
          <w:color w:val="auto"/>
          <w:sz w:val="24"/>
          <w:szCs w:val="16"/>
        </w:rPr>
        <w:t>M</w:t>
      </w:r>
      <w:r>
        <w:rPr>
          <w:i/>
          <w:color w:val="auto"/>
          <w:sz w:val="24"/>
          <w:szCs w:val="16"/>
          <w:vertAlign w:val="subscript"/>
        </w:rPr>
        <w:t>yd</w:t>
      </w:r>
      <w:r>
        <w:rPr>
          <w:i/>
          <w:color w:val="auto"/>
          <w:sz w:val="24"/>
          <w:szCs w:val="16"/>
        </w:rPr>
        <w:t>=RK</w:t>
      </w:r>
      <w:r>
        <w:rPr>
          <w:i/>
          <w:color w:val="auto"/>
          <w:sz w:val="24"/>
          <w:szCs w:val="16"/>
          <w:vertAlign w:val="subscript"/>
        </w:rPr>
        <w:t>yd</w:t>
      </w:r>
      <w:r>
        <w:rPr>
          <w:i/>
          <w:color w:val="auto"/>
          <w:sz w:val="24"/>
          <w:szCs w:val="16"/>
        </w:rPr>
        <w:t>L</w:t>
      </w:r>
      <w:r>
        <w:rPr>
          <w:i/>
          <w:color w:val="auto"/>
          <w:sz w:val="24"/>
          <w:szCs w:val="16"/>
          <w:vertAlign w:val="subscript"/>
        </w:rPr>
        <w:t>y</w:t>
      </w:r>
      <w:r>
        <w:rPr>
          <w:i/>
          <w:color w:val="auto"/>
          <w:sz w:val="24"/>
          <w:szCs w:val="16"/>
        </w:rPr>
        <w:t>S</w:t>
      </w:r>
      <w:r>
        <w:rPr>
          <w:i/>
          <w:color w:val="auto"/>
          <w:sz w:val="24"/>
          <w:szCs w:val="16"/>
          <w:vertAlign w:val="subscript"/>
        </w:rPr>
        <w:t>y</w:t>
      </w:r>
      <w:r>
        <w:rPr>
          <w:i/>
          <w:color w:val="auto"/>
          <w:sz w:val="24"/>
          <w:szCs w:val="16"/>
        </w:rPr>
        <w:t>BETA</w:t>
      </w:r>
      <w:r>
        <w:rPr>
          <w:color w:val="auto"/>
          <w:sz w:val="24"/>
          <w:szCs w:val="16"/>
        </w:rPr>
        <w:t xml:space="preserve"> ……</w:t>
      </w:r>
      <w:r>
        <w:rPr>
          <w:rFonts w:hint="eastAsia" w:ascii="宋体" w:hAnsi="宋体" w:eastAsia="宋体" w:cs="宋体"/>
          <w:color w:val="auto"/>
          <w:sz w:val="24"/>
          <w:szCs w:val="16"/>
        </w:rPr>
        <w:t>①</w:t>
      </w:r>
      <w:r>
        <w:rPr>
          <w:color w:val="auto"/>
          <w:sz w:val="24"/>
          <w:szCs w:val="16"/>
        </w:rPr>
        <w:t xml:space="preserve">     </w:t>
      </w:r>
      <w:r>
        <w:rPr>
          <w:i/>
          <w:color w:val="auto"/>
          <w:sz w:val="24"/>
          <w:szCs w:val="16"/>
        </w:rPr>
        <w:t>K</w:t>
      </w:r>
      <w:r>
        <w:rPr>
          <w:i/>
          <w:color w:val="auto"/>
          <w:sz w:val="24"/>
          <w:szCs w:val="16"/>
          <w:vertAlign w:val="subscript"/>
        </w:rPr>
        <w:t>yd</w:t>
      </w:r>
      <w:r>
        <w:rPr>
          <w:i/>
          <w:color w:val="auto"/>
          <w:sz w:val="24"/>
          <w:szCs w:val="16"/>
        </w:rPr>
        <w:t>=NK</w:t>
      </w:r>
      <w:r>
        <w:rPr>
          <w:color w:val="auto"/>
          <w:sz w:val="24"/>
          <w:szCs w:val="16"/>
        </w:rPr>
        <w:t>……</w:t>
      </w:r>
      <w:r>
        <w:rPr>
          <w:rFonts w:hint="eastAsia" w:ascii="宋体" w:hAnsi="宋体" w:eastAsia="宋体" w:cs="宋体"/>
          <w:color w:val="auto"/>
          <w:sz w:val="24"/>
          <w:szCs w:val="16"/>
        </w:rPr>
        <w:t>②</w:t>
      </w:r>
    </w:p>
    <w:p>
      <w:pPr>
        <w:pStyle w:val="90"/>
        <w:ind w:firstLine="480"/>
        <w:contextualSpacing/>
        <w:rPr>
          <w:color w:val="auto"/>
          <w:sz w:val="24"/>
          <w:szCs w:val="16"/>
        </w:rPr>
      </w:pPr>
      <w:r>
        <w:rPr>
          <w:i/>
          <w:color w:val="auto"/>
          <w:sz w:val="24"/>
          <w:szCs w:val="16"/>
        </w:rPr>
        <w:t>M</w:t>
      </w:r>
      <w:r>
        <w:rPr>
          <w:i/>
          <w:color w:val="auto"/>
          <w:sz w:val="24"/>
          <w:szCs w:val="16"/>
          <w:vertAlign w:val="subscript"/>
        </w:rPr>
        <w:t>yd</w:t>
      </w:r>
      <w:r>
        <w:rPr>
          <w:color w:val="auto"/>
          <w:sz w:val="24"/>
          <w:szCs w:val="16"/>
        </w:rPr>
        <w:t>：扰动地表计算单元土壤流失量，t；</w:t>
      </w:r>
    </w:p>
    <w:p>
      <w:pPr>
        <w:pStyle w:val="90"/>
        <w:ind w:firstLine="480"/>
        <w:contextualSpacing/>
        <w:rPr>
          <w:color w:val="auto"/>
          <w:sz w:val="24"/>
          <w:szCs w:val="16"/>
        </w:rPr>
      </w:pPr>
      <w:r>
        <w:rPr>
          <w:i/>
          <w:iCs/>
          <w:color w:val="auto"/>
          <w:sz w:val="24"/>
          <w:szCs w:val="16"/>
        </w:rPr>
        <w:t>R</w:t>
      </w:r>
      <w:r>
        <w:rPr>
          <w:color w:val="auto"/>
          <w:sz w:val="24"/>
          <w:szCs w:val="16"/>
        </w:rPr>
        <w:t>：降雨侵蚀力因子， MJ·mm/（hm</w:t>
      </w:r>
      <w:r>
        <w:rPr>
          <w:color w:val="auto"/>
          <w:sz w:val="24"/>
          <w:szCs w:val="16"/>
          <w:vertAlign w:val="superscript"/>
        </w:rPr>
        <w:t>2</w:t>
      </w:r>
      <w:r>
        <w:rPr>
          <w:color w:val="auto"/>
          <w:sz w:val="24"/>
          <w:szCs w:val="16"/>
        </w:rPr>
        <w:t>·h）；</w:t>
      </w:r>
    </w:p>
    <w:p>
      <w:pPr>
        <w:pStyle w:val="90"/>
        <w:ind w:firstLine="480"/>
        <w:contextualSpacing/>
        <w:rPr>
          <w:color w:val="auto"/>
          <w:sz w:val="24"/>
          <w:szCs w:val="16"/>
        </w:rPr>
      </w:pPr>
      <w:r>
        <w:rPr>
          <w:i/>
          <w:iCs/>
          <w:color w:val="auto"/>
          <w:sz w:val="24"/>
          <w:szCs w:val="16"/>
        </w:rPr>
        <w:t>K</w:t>
      </w:r>
      <w:r>
        <w:rPr>
          <w:i/>
          <w:iCs/>
          <w:color w:val="auto"/>
          <w:sz w:val="24"/>
          <w:szCs w:val="16"/>
          <w:vertAlign w:val="subscript"/>
        </w:rPr>
        <w:t>yd</w:t>
      </w:r>
      <w:r>
        <w:rPr>
          <w:color w:val="auto"/>
          <w:sz w:val="24"/>
          <w:szCs w:val="16"/>
        </w:rPr>
        <w:t>：地表翻扰后土壤可蚀性因子，t·hm</w:t>
      </w:r>
      <w:r>
        <w:rPr>
          <w:color w:val="auto"/>
          <w:sz w:val="24"/>
          <w:szCs w:val="16"/>
          <w:vertAlign w:val="superscript"/>
        </w:rPr>
        <w:t>2</w:t>
      </w:r>
      <w:r>
        <w:rPr>
          <w:color w:val="auto"/>
          <w:sz w:val="24"/>
          <w:szCs w:val="16"/>
        </w:rPr>
        <w:t>·h/（hm</w:t>
      </w:r>
      <w:r>
        <w:rPr>
          <w:color w:val="auto"/>
          <w:sz w:val="24"/>
          <w:szCs w:val="16"/>
          <w:vertAlign w:val="superscript"/>
        </w:rPr>
        <w:t>2</w:t>
      </w:r>
      <w:r>
        <w:rPr>
          <w:color w:val="auto"/>
          <w:sz w:val="24"/>
          <w:szCs w:val="16"/>
        </w:rPr>
        <w:t>·MJ·mm）；</w:t>
      </w:r>
    </w:p>
    <w:p>
      <w:pPr>
        <w:pStyle w:val="90"/>
        <w:ind w:firstLine="480"/>
        <w:contextualSpacing/>
        <w:rPr>
          <w:color w:val="auto"/>
          <w:sz w:val="24"/>
          <w:szCs w:val="16"/>
        </w:rPr>
      </w:pPr>
      <w:r>
        <w:rPr>
          <w:i/>
          <w:iCs/>
          <w:color w:val="auto"/>
          <w:sz w:val="24"/>
          <w:szCs w:val="16"/>
        </w:rPr>
        <w:t>K</w:t>
      </w:r>
      <w:r>
        <w:rPr>
          <w:color w:val="auto"/>
          <w:sz w:val="24"/>
          <w:szCs w:val="16"/>
        </w:rPr>
        <w:t>：土壤可蚀性因子，t·hm²·h/（hm²·MJ·mm）；</w:t>
      </w:r>
    </w:p>
    <w:p>
      <w:pPr>
        <w:pStyle w:val="90"/>
        <w:ind w:firstLine="480"/>
        <w:contextualSpacing/>
        <w:rPr>
          <w:color w:val="auto"/>
          <w:sz w:val="24"/>
          <w:szCs w:val="16"/>
        </w:rPr>
      </w:pPr>
      <w:r>
        <w:rPr>
          <w:i/>
          <w:iCs/>
          <w:color w:val="auto"/>
          <w:sz w:val="24"/>
          <w:szCs w:val="16"/>
        </w:rPr>
        <w:t>N</w:t>
      </w:r>
      <w:r>
        <w:rPr>
          <w:color w:val="auto"/>
          <w:sz w:val="24"/>
          <w:szCs w:val="16"/>
        </w:rPr>
        <w:t>：地表翻扰后土壤可蚀性因子增大系数，无纲量；</w:t>
      </w:r>
    </w:p>
    <w:p>
      <w:pPr>
        <w:pStyle w:val="90"/>
        <w:ind w:firstLine="480"/>
        <w:contextualSpacing/>
        <w:rPr>
          <w:color w:val="auto"/>
          <w:sz w:val="24"/>
          <w:szCs w:val="16"/>
        </w:rPr>
      </w:pPr>
      <w:r>
        <w:rPr>
          <w:i/>
          <w:iCs/>
          <w:color w:val="auto"/>
          <w:sz w:val="24"/>
          <w:szCs w:val="16"/>
        </w:rPr>
        <w:t>L</w:t>
      </w:r>
      <w:r>
        <w:rPr>
          <w:i/>
          <w:iCs/>
          <w:color w:val="auto"/>
          <w:sz w:val="24"/>
          <w:szCs w:val="16"/>
          <w:vertAlign w:val="subscript"/>
        </w:rPr>
        <w:t>y</w:t>
      </w:r>
      <w:r>
        <w:rPr>
          <w:color w:val="auto"/>
          <w:sz w:val="24"/>
          <w:szCs w:val="16"/>
        </w:rPr>
        <w:t>：坡长因子，无量纲；</w:t>
      </w:r>
    </w:p>
    <w:p>
      <w:pPr>
        <w:pStyle w:val="90"/>
        <w:ind w:firstLine="480"/>
        <w:contextualSpacing/>
        <w:rPr>
          <w:color w:val="auto"/>
          <w:sz w:val="24"/>
          <w:szCs w:val="16"/>
        </w:rPr>
      </w:pPr>
      <w:r>
        <w:rPr>
          <w:i/>
          <w:iCs/>
          <w:color w:val="auto"/>
          <w:sz w:val="24"/>
          <w:szCs w:val="16"/>
        </w:rPr>
        <w:t>S</w:t>
      </w:r>
      <w:r>
        <w:rPr>
          <w:i/>
          <w:iCs/>
          <w:color w:val="auto"/>
          <w:sz w:val="24"/>
          <w:szCs w:val="16"/>
          <w:vertAlign w:val="subscript"/>
        </w:rPr>
        <w:t>y</w:t>
      </w:r>
      <w:r>
        <w:rPr>
          <w:color w:val="auto"/>
          <w:sz w:val="24"/>
          <w:szCs w:val="16"/>
        </w:rPr>
        <w:t>：坡度因子，无量纲；</w:t>
      </w:r>
    </w:p>
    <w:p>
      <w:pPr>
        <w:pStyle w:val="90"/>
        <w:ind w:firstLine="480"/>
        <w:contextualSpacing/>
        <w:rPr>
          <w:color w:val="auto"/>
          <w:sz w:val="24"/>
          <w:szCs w:val="16"/>
        </w:rPr>
      </w:pPr>
      <w:r>
        <w:rPr>
          <w:i/>
          <w:iCs/>
          <w:color w:val="auto"/>
          <w:sz w:val="24"/>
          <w:szCs w:val="16"/>
        </w:rPr>
        <w:t>B</w:t>
      </w:r>
      <w:r>
        <w:rPr>
          <w:color w:val="auto"/>
          <w:sz w:val="24"/>
          <w:szCs w:val="16"/>
        </w:rPr>
        <w:t>：植被覆盖因子，无量纲；</w:t>
      </w:r>
    </w:p>
    <w:p>
      <w:pPr>
        <w:pStyle w:val="90"/>
        <w:ind w:firstLine="480"/>
        <w:contextualSpacing/>
        <w:rPr>
          <w:color w:val="auto"/>
          <w:sz w:val="24"/>
          <w:szCs w:val="16"/>
        </w:rPr>
      </w:pPr>
      <w:r>
        <w:rPr>
          <w:i/>
          <w:iCs/>
          <w:color w:val="auto"/>
          <w:sz w:val="24"/>
          <w:szCs w:val="16"/>
        </w:rPr>
        <w:t>E</w:t>
      </w:r>
      <w:r>
        <w:rPr>
          <w:color w:val="auto"/>
          <w:sz w:val="24"/>
          <w:szCs w:val="16"/>
        </w:rPr>
        <w:t>：工程措施因子，无量纲；</w:t>
      </w:r>
    </w:p>
    <w:p>
      <w:pPr>
        <w:pStyle w:val="90"/>
        <w:ind w:firstLine="480"/>
        <w:contextualSpacing/>
        <w:rPr>
          <w:color w:val="auto"/>
          <w:sz w:val="24"/>
          <w:szCs w:val="16"/>
        </w:rPr>
      </w:pPr>
      <w:r>
        <w:rPr>
          <w:i/>
          <w:iCs/>
          <w:color w:val="auto"/>
          <w:sz w:val="24"/>
          <w:szCs w:val="16"/>
        </w:rPr>
        <w:t>T</w:t>
      </w:r>
      <w:r>
        <w:rPr>
          <w:color w:val="auto"/>
          <w:sz w:val="24"/>
          <w:szCs w:val="16"/>
        </w:rPr>
        <w:t>：耕作措施因子，无量纲；</w:t>
      </w:r>
    </w:p>
    <w:p>
      <w:pPr>
        <w:pStyle w:val="90"/>
        <w:ind w:firstLine="480"/>
        <w:contextualSpacing/>
        <w:rPr>
          <w:color w:val="auto"/>
          <w:sz w:val="24"/>
          <w:szCs w:val="16"/>
        </w:rPr>
      </w:pPr>
      <w:r>
        <w:rPr>
          <w:i/>
          <w:iCs/>
          <w:color w:val="auto"/>
          <w:sz w:val="24"/>
          <w:szCs w:val="16"/>
        </w:rPr>
        <w:t>A</w:t>
      </w:r>
      <w:r>
        <w:rPr>
          <w:color w:val="auto"/>
          <w:sz w:val="24"/>
          <w:szCs w:val="16"/>
        </w:rPr>
        <w:t>：计算单元的水平投影面积，hm</w:t>
      </w:r>
      <w:r>
        <w:rPr>
          <w:color w:val="auto"/>
          <w:sz w:val="24"/>
          <w:szCs w:val="16"/>
          <w:vertAlign w:val="superscript"/>
        </w:rPr>
        <w:t>2</w:t>
      </w:r>
      <w:r>
        <w:rPr>
          <w:color w:val="auto"/>
          <w:sz w:val="24"/>
          <w:szCs w:val="16"/>
        </w:rPr>
        <w:t>。</w:t>
      </w:r>
    </w:p>
    <w:p>
      <w:pPr>
        <w:pStyle w:val="90"/>
        <w:ind w:firstLine="480"/>
        <w:contextualSpacing/>
        <w:rPr>
          <w:color w:val="auto"/>
          <w:sz w:val="24"/>
          <w:szCs w:val="16"/>
        </w:rPr>
      </w:pPr>
      <w:r>
        <w:rPr>
          <w:color w:val="auto"/>
          <w:sz w:val="24"/>
          <w:szCs w:val="16"/>
        </w:rPr>
        <w:t>（1）降雨侵蚀力因子</w:t>
      </w:r>
    </w:p>
    <w:p>
      <w:pPr>
        <w:pStyle w:val="90"/>
        <w:ind w:firstLine="480"/>
        <w:contextualSpacing/>
        <w:rPr>
          <w:color w:val="auto"/>
          <w:sz w:val="24"/>
          <w:szCs w:val="16"/>
        </w:rPr>
      </w:pPr>
      <w:r>
        <w:rPr>
          <w:color w:val="auto"/>
          <w:sz w:val="24"/>
          <w:szCs w:val="16"/>
        </w:rPr>
        <w:t>项目区多年平均降雨量为</w:t>
      </w:r>
      <w:r>
        <w:rPr>
          <w:color w:val="auto"/>
          <w:sz w:val="24"/>
        </w:rPr>
        <w:t>569.1</w:t>
      </w:r>
      <w:r>
        <w:rPr>
          <w:color w:val="auto"/>
          <w:sz w:val="24"/>
          <w:szCs w:val="16"/>
        </w:rPr>
        <w:t>mm，降雨侵蚀力因子</w:t>
      </w:r>
      <w:r>
        <w:rPr>
          <w:i/>
          <w:iCs/>
          <w:color w:val="auto"/>
          <w:sz w:val="24"/>
          <w:szCs w:val="16"/>
        </w:rPr>
        <w:t>R</w:t>
      </w:r>
      <w:r>
        <w:rPr>
          <w:color w:val="auto"/>
          <w:sz w:val="24"/>
          <w:szCs w:val="16"/>
        </w:rPr>
        <w:t>取值</w:t>
      </w:r>
      <w:r>
        <w:rPr>
          <w:i/>
          <w:iCs/>
          <w:color w:val="auto"/>
          <w:sz w:val="24"/>
          <w:szCs w:val="16"/>
        </w:rPr>
        <w:t>R</w:t>
      </w:r>
      <w:r>
        <w:rPr>
          <w:i/>
          <w:iCs/>
          <w:color w:val="auto"/>
          <w:sz w:val="24"/>
          <w:szCs w:val="16"/>
          <w:vertAlign w:val="subscript"/>
        </w:rPr>
        <w:t>d</w:t>
      </w:r>
      <w:r>
        <w:rPr>
          <w:color w:val="auto"/>
          <w:sz w:val="24"/>
          <w:szCs w:val="16"/>
        </w:rPr>
        <w:t>，按公式</w:t>
      </w:r>
      <w:r>
        <w:rPr>
          <w:i/>
          <w:iCs/>
          <w:color w:val="auto"/>
          <w:sz w:val="24"/>
          <w:szCs w:val="16"/>
        </w:rPr>
        <w:t>R</w:t>
      </w:r>
      <w:r>
        <w:rPr>
          <w:i/>
          <w:iCs/>
          <w:color w:val="auto"/>
          <w:sz w:val="24"/>
          <w:szCs w:val="16"/>
          <w:vertAlign w:val="subscript"/>
        </w:rPr>
        <w:t>d</w:t>
      </w:r>
      <w:r>
        <w:rPr>
          <w:color w:val="auto"/>
          <w:sz w:val="24"/>
          <w:szCs w:val="16"/>
        </w:rPr>
        <w:t>=0.067</w:t>
      </w:r>
      <w:r>
        <w:rPr>
          <w:i/>
          <w:iCs/>
          <w:color w:val="auto"/>
          <w:sz w:val="24"/>
          <w:szCs w:val="16"/>
        </w:rPr>
        <w:t>p</w:t>
      </w:r>
      <w:r>
        <w:rPr>
          <w:i/>
          <w:iCs/>
          <w:color w:val="auto"/>
          <w:sz w:val="24"/>
          <w:szCs w:val="16"/>
          <w:vertAlign w:val="subscript"/>
        </w:rPr>
        <w:t>d</w:t>
      </w:r>
      <w:r>
        <w:rPr>
          <w:color w:val="auto"/>
          <w:sz w:val="24"/>
          <w:szCs w:val="16"/>
          <w:vertAlign w:val="superscript"/>
        </w:rPr>
        <w:t>1.627</w:t>
      </w:r>
      <w:r>
        <w:rPr>
          <w:color w:val="auto"/>
          <w:sz w:val="24"/>
          <w:szCs w:val="16"/>
        </w:rPr>
        <w:t>，故</w:t>
      </w:r>
      <w:r>
        <w:rPr>
          <w:i/>
          <w:iCs/>
          <w:color w:val="auto"/>
          <w:sz w:val="24"/>
          <w:szCs w:val="16"/>
        </w:rPr>
        <w:t>R</w:t>
      </w:r>
      <w:r>
        <w:rPr>
          <w:color w:val="auto"/>
          <w:sz w:val="24"/>
          <w:szCs w:val="16"/>
        </w:rPr>
        <w:t>取值为2035.95；</w:t>
      </w:r>
    </w:p>
    <w:p>
      <w:pPr>
        <w:pStyle w:val="90"/>
        <w:ind w:firstLine="480"/>
        <w:contextualSpacing/>
        <w:rPr>
          <w:color w:val="auto"/>
          <w:sz w:val="24"/>
          <w:szCs w:val="16"/>
        </w:rPr>
      </w:pPr>
      <w:r>
        <w:rPr>
          <w:color w:val="auto"/>
          <w:sz w:val="24"/>
          <w:szCs w:val="16"/>
        </w:rPr>
        <w:t>（2）土壤可蚀性因子</w:t>
      </w:r>
    </w:p>
    <w:p>
      <w:pPr>
        <w:pStyle w:val="90"/>
        <w:ind w:firstLine="480"/>
        <w:contextualSpacing/>
        <w:rPr>
          <w:color w:val="auto"/>
          <w:sz w:val="24"/>
          <w:szCs w:val="16"/>
        </w:rPr>
      </w:pPr>
      <w:r>
        <w:rPr>
          <w:color w:val="auto"/>
          <w:sz w:val="24"/>
          <w:szCs w:val="16"/>
        </w:rPr>
        <w:t>本方案土壤可蚀性因子依据《生产建设项目土壤流失量测算导则》，取</w:t>
      </w:r>
      <w:r>
        <w:rPr>
          <w:rFonts w:hint="eastAsia"/>
          <w:color w:val="auto"/>
          <w:sz w:val="24"/>
          <w:szCs w:val="16"/>
        </w:rPr>
        <w:t>项目所在区域</w:t>
      </w:r>
      <w:r>
        <w:rPr>
          <w:i/>
          <w:iCs/>
          <w:color w:val="auto"/>
          <w:sz w:val="24"/>
          <w:szCs w:val="16"/>
        </w:rPr>
        <w:t>K</w:t>
      </w:r>
      <w:r>
        <w:rPr>
          <w:color w:val="auto"/>
          <w:sz w:val="24"/>
          <w:szCs w:val="16"/>
        </w:rPr>
        <w:t>值</w:t>
      </w:r>
      <w:r>
        <w:rPr>
          <w:color w:val="auto"/>
          <w:sz w:val="24"/>
        </w:rPr>
        <w:t>0.0379</w:t>
      </w:r>
      <w:r>
        <w:rPr>
          <w:color w:val="auto"/>
          <w:sz w:val="24"/>
          <w:szCs w:val="16"/>
        </w:rPr>
        <w:t>；</w:t>
      </w:r>
    </w:p>
    <w:p>
      <w:pPr>
        <w:pStyle w:val="90"/>
        <w:ind w:firstLine="480"/>
        <w:contextualSpacing/>
        <w:rPr>
          <w:color w:val="auto"/>
          <w:sz w:val="24"/>
          <w:szCs w:val="16"/>
        </w:rPr>
      </w:pPr>
      <w:r>
        <w:rPr>
          <w:color w:val="auto"/>
          <w:sz w:val="24"/>
          <w:szCs w:val="16"/>
        </w:rPr>
        <w:t>（3）地表翻扰后土壤可蚀性因子增大系数</w:t>
      </w:r>
    </w:p>
    <w:p>
      <w:pPr>
        <w:pStyle w:val="90"/>
        <w:ind w:firstLine="480"/>
        <w:contextualSpacing/>
        <w:rPr>
          <w:color w:val="auto"/>
          <w:sz w:val="24"/>
          <w:szCs w:val="16"/>
        </w:rPr>
      </w:pPr>
      <w:r>
        <w:rPr>
          <w:color w:val="auto"/>
          <w:sz w:val="24"/>
          <w:szCs w:val="16"/>
        </w:rPr>
        <w:t>地表翻扰后土壤可蚀性因子增大系数宜通过分别布设与扰动前和扰动后下垫面状况、坡长、坡度等均相同的径流小区进行实测资料对比得出，由于本项目无实测条件，因此按《生产建设项目土壤流失量测算导则》取值2.13。</w:t>
      </w:r>
    </w:p>
    <w:p>
      <w:pPr>
        <w:pStyle w:val="90"/>
        <w:ind w:firstLine="480"/>
        <w:contextualSpacing/>
        <w:rPr>
          <w:color w:val="auto"/>
          <w:sz w:val="24"/>
          <w:szCs w:val="16"/>
        </w:rPr>
      </w:pPr>
      <w:r>
        <w:rPr>
          <w:color w:val="auto"/>
          <w:sz w:val="24"/>
          <w:szCs w:val="16"/>
        </w:rPr>
        <w:t>（4）坡长因子</w:t>
      </w:r>
    </w:p>
    <w:p>
      <w:pPr>
        <w:pStyle w:val="90"/>
        <w:ind w:firstLine="480"/>
        <w:contextualSpacing/>
        <w:rPr>
          <w:color w:val="auto"/>
          <w:sz w:val="24"/>
          <w:szCs w:val="16"/>
        </w:rPr>
      </w:pPr>
      <w:r>
        <w:rPr>
          <w:color w:val="auto"/>
          <w:sz w:val="24"/>
          <w:szCs w:val="16"/>
        </w:rPr>
        <w:t>坡长因子按公式</w:t>
      </w:r>
      <w:r>
        <w:rPr>
          <w:rFonts w:hint="eastAsia" w:ascii="宋体" w:hAnsi="宋体" w:eastAsia="宋体" w:cs="宋体"/>
          <w:color w:val="auto"/>
          <w:sz w:val="24"/>
          <w:szCs w:val="16"/>
        </w:rPr>
        <w:t>③</w:t>
      </w:r>
      <w:r>
        <w:rPr>
          <w:color w:val="auto"/>
          <w:sz w:val="24"/>
          <w:szCs w:val="16"/>
        </w:rPr>
        <w:t>和公式</w:t>
      </w:r>
      <w:r>
        <w:rPr>
          <w:rFonts w:hint="eastAsia" w:ascii="宋体" w:hAnsi="宋体" w:eastAsia="宋体" w:cs="宋体"/>
          <w:color w:val="auto"/>
          <w:sz w:val="24"/>
          <w:szCs w:val="16"/>
        </w:rPr>
        <w:t>④</w:t>
      </w:r>
      <w:r>
        <w:rPr>
          <w:color w:val="auto"/>
          <w:sz w:val="24"/>
          <w:szCs w:val="16"/>
        </w:rPr>
        <w:t>计算：</w:t>
      </w:r>
    </w:p>
    <w:p>
      <w:pPr>
        <w:pStyle w:val="90"/>
        <w:ind w:firstLine="480"/>
        <w:contextualSpacing/>
        <w:rPr>
          <w:color w:val="auto"/>
          <w:sz w:val="24"/>
          <w:szCs w:val="16"/>
        </w:rPr>
      </w:pPr>
      <w:r>
        <w:rPr>
          <w:i/>
          <w:color w:val="auto"/>
          <w:sz w:val="24"/>
          <w:szCs w:val="16"/>
        </w:rPr>
        <w:t>L</w:t>
      </w:r>
      <w:r>
        <w:rPr>
          <w:i/>
          <w:color w:val="auto"/>
          <w:sz w:val="24"/>
          <w:szCs w:val="16"/>
          <w:vertAlign w:val="subscript"/>
        </w:rPr>
        <w:t>y</w:t>
      </w:r>
      <w:r>
        <w:rPr>
          <w:color w:val="auto"/>
          <w:sz w:val="24"/>
          <w:szCs w:val="16"/>
        </w:rPr>
        <w:t>=（</w:t>
      </w:r>
      <w:r>
        <w:rPr>
          <w:i/>
          <w:color w:val="auto"/>
          <w:sz w:val="24"/>
          <w:szCs w:val="16"/>
        </w:rPr>
        <w:t>λ</w:t>
      </w:r>
      <w:r>
        <w:rPr>
          <w:color w:val="auto"/>
          <w:sz w:val="24"/>
          <w:szCs w:val="16"/>
        </w:rPr>
        <w:t>/20）</w:t>
      </w:r>
      <w:r>
        <w:rPr>
          <w:color w:val="auto"/>
          <w:sz w:val="24"/>
          <w:szCs w:val="16"/>
          <w:vertAlign w:val="superscript"/>
        </w:rPr>
        <w:t xml:space="preserve">m   </w:t>
      </w:r>
      <w:r>
        <w:rPr>
          <w:rFonts w:hint="eastAsia" w:ascii="宋体" w:hAnsi="宋体" w:eastAsia="宋体" w:cs="宋体"/>
          <w:iCs/>
          <w:color w:val="auto"/>
          <w:sz w:val="24"/>
          <w:szCs w:val="16"/>
        </w:rPr>
        <w:t>③</w:t>
      </w:r>
    </w:p>
    <w:p>
      <w:pPr>
        <w:pStyle w:val="90"/>
        <w:ind w:firstLine="480"/>
        <w:contextualSpacing/>
        <w:rPr>
          <w:color w:val="auto"/>
          <w:sz w:val="24"/>
          <w:szCs w:val="16"/>
        </w:rPr>
      </w:pPr>
      <w:r>
        <w:rPr>
          <w:i/>
          <w:color w:val="auto"/>
          <w:sz w:val="24"/>
          <w:szCs w:val="16"/>
        </w:rPr>
        <w:t>λ=λ</w:t>
      </w:r>
      <w:r>
        <w:rPr>
          <w:i/>
          <w:color w:val="auto"/>
          <w:sz w:val="24"/>
          <w:szCs w:val="16"/>
          <w:vertAlign w:val="subscript"/>
        </w:rPr>
        <w:t>x</w:t>
      </w:r>
      <w:r>
        <w:rPr>
          <w:i/>
          <w:color w:val="auto"/>
          <w:sz w:val="24"/>
          <w:szCs w:val="16"/>
        </w:rPr>
        <w:t xml:space="preserve">cosθ      </w:t>
      </w:r>
      <w:r>
        <w:rPr>
          <w:rFonts w:hint="eastAsia" w:ascii="宋体" w:hAnsi="宋体" w:eastAsia="宋体" w:cs="宋体"/>
          <w:color w:val="auto"/>
          <w:sz w:val="24"/>
          <w:szCs w:val="16"/>
        </w:rPr>
        <w:t>④</w:t>
      </w:r>
    </w:p>
    <w:p>
      <w:pPr>
        <w:pStyle w:val="90"/>
        <w:ind w:firstLine="480"/>
        <w:contextualSpacing/>
        <w:rPr>
          <w:color w:val="auto"/>
          <w:sz w:val="24"/>
          <w:szCs w:val="16"/>
        </w:rPr>
      </w:pPr>
      <w:r>
        <w:rPr>
          <w:color w:val="auto"/>
          <w:sz w:val="24"/>
          <w:szCs w:val="16"/>
        </w:rPr>
        <w:t>式中：</w:t>
      </w:r>
    </w:p>
    <w:p>
      <w:pPr>
        <w:pStyle w:val="90"/>
        <w:ind w:firstLine="480"/>
        <w:contextualSpacing/>
        <w:rPr>
          <w:color w:val="auto"/>
          <w:sz w:val="24"/>
          <w:szCs w:val="16"/>
        </w:rPr>
      </w:pPr>
      <w:r>
        <w:rPr>
          <w:i/>
          <w:color w:val="auto"/>
          <w:sz w:val="24"/>
          <w:szCs w:val="16"/>
        </w:rPr>
        <w:t>λ</w:t>
      </w:r>
      <w:r>
        <w:rPr>
          <w:color w:val="auto"/>
          <w:sz w:val="24"/>
          <w:szCs w:val="16"/>
        </w:rPr>
        <w:t>：计算单元水平投影坡长度，m，对一般扰动地表，水平投影坡长≤100 m时按实际值计算，水平投影坡长&gt;100 m时按100m计算。</w:t>
      </w:r>
    </w:p>
    <w:p>
      <w:pPr>
        <w:pStyle w:val="90"/>
        <w:ind w:firstLine="480"/>
        <w:contextualSpacing/>
        <w:rPr>
          <w:color w:val="auto"/>
          <w:sz w:val="24"/>
          <w:szCs w:val="16"/>
        </w:rPr>
      </w:pPr>
      <w:r>
        <w:rPr>
          <w:i/>
          <w:iCs/>
          <w:color w:val="auto"/>
          <w:sz w:val="24"/>
          <w:szCs w:val="16"/>
        </w:rPr>
        <w:t>θ</w:t>
      </w:r>
      <w:r>
        <w:rPr>
          <w:color w:val="auto"/>
          <w:sz w:val="24"/>
          <w:szCs w:val="16"/>
        </w:rPr>
        <w:t xml:space="preserve">：计算单元坡度，取值范围为：0~90°。  </w:t>
      </w:r>
    </w:p>
    <w:p>
      <w:pPr>
        <w:pStyle w:val="90"/>
        <w:ind w:firstLine="480"/>
        <w:contextualSpacing/>
        <w:rPr>
          <w:color w:val="auto"/>
          <w:sz w:val="24"/>
          <w:szCs w:val="16"/>
        </w:rPr>
      </w:pPr>
      <w:r>
        <w:rPr>
          <w:i/>
          <w:iCs/>
          <w:color w:val="auto"/>
          <w:sz w:val="24"/>
          <w:szCs w:val="16"/>
        </w:rPr>
        <w:t>m</w:t>
      </w:r>
      <w:r>
        <w:rPr>
          <w:color w:val="auto"/>
          <w:sz w:val="24"/>
          <w:szCs w:val="16"/>
        </w:rPr>
        <w:t>：坡长指数，其中，</w:t>
      </w:r>
      <w:r>
        <w:rPr>
          <w:i/>
          <w:iCs/>
          <w:color w:val="auto"/>
          <w:sz w:val="24"/>
          <w:szCs w:val="16"/>
        </w:rPr>
        <w:t>θ</w:t>
      </w:r>
      <w:r>
        <w:rPr>
          <w:color w:val="auto"/>
          <w:sz w:val="24"/>
          <w:szCs w:val="16"/>
        </w:rPr>
        <w:t>≤1°时，m取0.2；1°&lt;</w:t>
      </w:r>
      <w:r>
        <w:rPr>
          <w:i/>
          <w:iCs/>
          <w:color w:val="auto"/>
          <w:sz w:val="24"/>
          <w:szCs w:val="16"/>
        </w:rPr>
        <w:t>θ</w:t>
      </w:r>
      <w:r>
        <w:rPr>
          <w:color w:val="auto"/>
          <w:sz w:val="24"/>
          <w:szCs w:val="16"/>
        </w:rPr>
        <w:t>≤3°时，m取0.3；3°&lt;</w:t>
      </w:r>
      <w:r>
        <w:rPr>
          <w:i/>
          <w:iCs/>
          <w:color w:val="auto"/>
          <w:sz w:val="24"/>
          <w:szCs w:val="16"/>
        </w:rPr>
        <w:t>θ</w:t>
      </w:r>
      <w:r>
        <w:rPr>
          <w:color w:val="auto"/>
          <w:sz w:val="24"/>
          <w:szCs w:val="16"/>
        </w:rPr>
        <w:t>≤5°时，m取0.4；</w:t>
      </w:r>
      <w:r>
        <w:rPr>
          <w:i/>
          <w:iCs/>
          <w:color w:val="auto"/>
          <w:sz w:val="24"/>
          <w:szCs w:val="16"/>
        </w:rPr>
        <w:t>θ</w:t>
      </w:r>
      <w:r>
        <w:rPr>
          <w:color w:val="auto"/>
          <w:sz w:val="24"/>
          <w:szCs w:val="16"/>
        </w:rPr>
        <w:t>&gt;5°时，m取0.5。</w:t>
      </w:r>
    </w:p>
    <w:p>
      <w:pPr>
        <w:pStyle w:val="90"/>
        <w:ind w:firstLine="480"/>
        <w:contextualSpacing/>
        <w:rPr>
          <w:iCs/>
          <w:color w:val="auto"/>
          <w:sz w:val="24"/>
          <w:szCs w:val="16"/>
        </w:rPr>
      </w:pPr>
      <w:r>
        <w:rPr>
          <w:i/>
          <w:color w:val="auto"/>
          <w:sz w:val="24"/>
          <w:szCs w:val="16"/>
        </w:rPr>
        <w:t>λ</w:t>
      </w:r>
      <w:r>
        <w:rPr>
          <w:i/>
          <w:color w:val="auto"/>
          <w:sz w:val="24"/>
          <w:szCs w:val="16"/>
          <w:vertAlign w:val="subscript"/>
        </w:rPr>
        <w:t>x</w:t>
      </w:r>
      <w:r>
        <w:rPr>
          <w:iCs/>
          <w:color w:val="auto"/>
          <w:sz w:val="24"/>
          <w:szCs w:val="16"/>
        </w:rPr>
        <w:t>：计算单元斜坡长度，m。</w:t>
      </w:r>
    </w:p>
    <w:p>
      <w:pPr>
        <w:pStyle w:val="90"/>
        <w:ind w:firstLine="480"/>
        <w:contextualSpacing/>
        <w:rPr>
          <w:color w:val="auto"/>
          <w:sz w:val="24"/>
          <w:szCs w:val="16"/>
        </w:rPr>
      </w:pPr>
      <w:r>
        <w:rPr>
          <w:color w:val="auto"/>
          <w:sz w:val="24"/>
          <w:szCs w:val="16"/>
        </w:rPr>
        <w:t>（5）坡度因子</w:t>
      </w:r>
    </w:p>
    <w:p>
      <w:pPr>
        <w:pStyle w:val="90"/>
        <w:ind w:firstLine="480"/>
        <w:contextualSpacing/>
        <w:rPr>
          <w:color w:val="auto"/>
          <w:sz w:val="24"/>
          <w:szCs w:val="16"/>
        </w:rPr>
      </w:pPr>
      <w:r>
        <w:rPr>
          <w:color w:val="auto"/>
          <w:sz w:val="24"/>
          <w:szCs w:val="16"/>
        </w:rPr>
        <w:t>坡度因子按公式</w:t>
      </w:r>
      <w:r>
        <w:rPr>
          <w:rFonts w:hint="eastAsia" w:ascii="宋体" w:hAnsi="宋体" w:eastAsia="宋体" w:cs="宋体"/>
          <w:color w:val="auto"/>
          <w:sz w:val="24"/>
          <w:szCs w:val="16"/>
        </w:rPr>
        <w:t>⑤</w:t>
      </w:r>
      <w:r>
        <w:rPr>
          <w:color w:val="auto"/>
          <w:sz w:val="24"/>
          <w:szCs w:val="16"/>
        </w:rPr>
        <w:t>计算：</w:t>
      </w:r>
    </w:p>
    <w:p>
      <w:pPr>
        <w:pStyle w:val="90"/>
        <w:ind w:firstLine="480"/>
        <w:contextualSpacing/>
        <w:rPr>
          <w:color w:val="auto"/>
          <w:sz w:val="24"/>
          <w:szCs w:val="16"/>
        </w:rPr>
      </w:pPr>
      <w:r>
        <w:rPr>
          <w:i/>
          <w:color w:val="auto"/>
          <w:sz w:val="24"/>
          <w:szCs w:val="16"/>
        </w:rPr>
        <w:t>S</w:t>
      </w:r>
      <w:r>
        <w:rPr>
          <w:i/>
          <w:color w:val="auto"/>
          <w:sz w:val="24"/>
          <w:szCs w:val="16"/>
          <w:vertAlign w:val="subscript"/>
        </w:rPr>
        <w:t>y</w:t>
      </w:r>
      <w:r>
        <w:rPr>
          <w:color w:val="auto"/>
          <w:sz w:val="24"/>
          <w:szCs w:val="16"/>
        </w:rPr>
        <w:t>= -1.5+17/ [1+</w:t>
      </w:r>
      <w:r>
        <w:rPr>
          <w:i/>
          <w:iCs/>
          <w:color w:val="auto"/>
          <w:sz w:val="24"/>
          <w:szCs w:val="16"/>
        </w:rPr>
        <w:t>e</w:t>
      </w:r>
      <w:r>
        <w:rPr>
          <w:color w:val="auto"/>
          <w:sz w:val="24"/>
          <w:szCs w:val="16"/>
          <w:vertAlign w:val="superscript"/>
        </w:rPr>
        <w:t>(2.3-6.1sin</w:t>
      </w:r>
      <w:r>
        <w:rPr>
          <w:i/>
          <w:iCs/>
          <w:color w:val="auto"/>
          <w:sz w:val="24"/>
          <w:szCs w:val="16"/>
          <w:vertAlign w:val="superscript"/>
        </w:rPr>
        <w:t>θ</w:t>
      </w:r>
      <w:r>
        <w:rPr>
          <w:color w:val="auto"/>
          <w:sz w:val="24"/>
          <w:szCs w:val="16"/>
          <w:vertAlign w:val="superscript"/>
        </w:rPr>
        <w:t>)</w:t>
      </w:r>
      <w:r>
        <w:rPr>
          <w:color w:val="auto"/>
          <w:sz w:val="24"/>
          <w:szCs w:val="16"/>
        </w:rPr>
        <w:t xml:space="preserve">]    </w:t>
      </w:r>
      <w:r>
        <w:rPr>
          <w:rFonts w:hint="eastAsia" w:ascii="宋体" w:hAnsi="宋体" w:eastAsia="宋体" w:cs="宋体"/>
          <w:color w:val="auto"/>
          <w:sz w:val="24"/>
          <w:szCs w:val="16"/>
        </w:rPr>
        <w:t>⑤</w:t>
      </w:r>
      <w:r>
        <w:rPr>
          <w:color w:val="auto"/>
          <w:sz w:val="24"/>
          <w:szCs w:val="16"/>
        </w:rPr>
        <w:t xml:space="preserve">   </w:t>
      </w:r>
    </w:p>
    <w:p>
      <w:pPr>
        <w:pStyle w:val="90"/>
        <w:ind w:firstLine="480"/>
        <w:contextualSpacing/>
        <w:rPr>
          <w:color w:val="auto"/>
          <w:sz w:val="24"/>
          <w:szCs w:val="16"/>
        </w:rPr>
      </w:pPr>
      <w:r>
        <w:rPr>
          <w:color w:val="auto"/>
          <w:sz w:val="24"/>
          <w:szCs w:val="16"/>
        </w:rPr>
        <w:t>式中：</w:t>
      </w:r>
    </w:p>
    <w:p>
      <w:pPr>
        <w:pStyle w:val="90"/>
        <w:ind w:firstLine="480"/>
        <w:contextualSpacing/>
        <w:rPr>
          <w:color w:val="auto"/>
          <w:sz w:val="24"/>
          <w:szCs w:val="16"/>
        </w:rPr>
      </w:pPr>
      <w:r>
        <w:rPr>
          <w:i/>
          <w:iCs/>
          <w:color w:val="auto"/>
          <w:sz w:val="24"/>
          <w:szCs w:val="16"/>
        </w:rPr>
        <w:t>e</w:t>
      </w:r>
      <w:r>
        <w:rPr>
          <w:color w:val="auto"/>
          <w:sz w:val="24"/>
          <w:szCs w:val="16"/>
        </w:rPr>
        <w:t>：自然对数的底，取2.72；</w:t>
      </w:r>
    </w:p>
    <w:p>
      <w:pPr>
        <w:pStyle w:val="90"/>
        <w:ind w:firstLine="480"/>
        <w:contextualSpacing/>
        <w:rPr>
          <w:color w:val="auto"/>
          <w:sz w:val="24"/>
          <w:szCs w:val="16"/>
        </w:rPr>
      </w:pPr>
      <w:r>
        <w:rPr>
          <w:i/>
          <w:iCs/>
          <w:color w:val="auto"/>
          <w:sz w:val="24"/>
          <w:szCs w:val="16"/>
        </w:rPr>
        <w:t>θ</w:t>
      </w:r>
      <w:r>
        <w:rPr>
          <w:color w:val="auto"/>
          <w:sz w:val="24"/>
          <w:szCs w:val="16"/>
        </w:rPr>
        <w:t>：计算单元坡度，取值范围为：0~90°。</w:t>
      </w:r>
      <w:r>
        <w:rPr>
          <w:i/>
          <w:iCs/>
          <w:color w:val="auto"/>
          <w:sz w:val="24"/>
          <w:szCs w:val="16"/>
        </w:rPr>
        <w:t>θ</w:t>
      </w:r>
      <w:r>
        <w:rPr>
          <w:color w:val="auto"/>
          <w:sz w:val="24"/>
          <w:szCs w:val="16"/>
        </w:rPr>
        <w:t>≤35°时按实际值计算；</w:t>
      </w:r>
      <w:r>
        <w:rPr>
          <w:i/>
          <w:iCs/>
          <w:color w:val="auto"/>
          <w:sz w:val="24"/>
          <w:szCs w:val="16"/>
        </w:rPr>
        <w:t>θ</w:t>
      </w:r>
      <w:r>
        <w:rPr>
          <w:color w:val="auto"/>
          <w:sz w:val="24"/>
          <w:szCs w:val="16"/>
        </w:rPr>
        <w:t>&gt;35°时按35°计算；</w:t>
      </w:r>
      <w:r>
        <w:rPr>
          <w:i/>
          <w:iCs/>
          <w:color w:val="auto"/>
          <w:sz w:val="24"/>
          <w:szCs w:val="16"/>
        </w:rPr>
        <w:t>θ</w:t>
      </w:r>
      <w:r>
        <w:rPr>
          <w:color w:val="auto"/>
          <w:sz w:val="24"/>
          <w:szCs w:val="16"/>
        </w:rPr>
        <w:t>为0°时</w:t>
      </w:r>
      <w:r>
        <w:rPr>
          <w:i/>
          <w:color w:val="auto"/>
          <w:sz w:val="24"/>
          <w:szCs w:val="16"/>
        </w:rPr>
        <w:t>S</w:t>
      </w:r>
      <w:r>
        <w:rPr>
          <w:i/>
          <w:color w:val="auto"/>
          <w:sz w:val="24"/>
          <w:szCs w:val="16"/>
          <w:vertAlign w:val="subscript"/>
        </w:rPr>
        <w:t>y</w:t>
      </w:r>
      <w:r>
        <w:rPr>
          <w:color w:val="auto"/>
          <w:sz w:val="24"/>
          <w:szCs w:val="16"/>
        </w:rPr>
        <w:t>取0。</w:t>
      </w:r>
    </w:p>
    <w:p>
      <w:pPr>
        <w:pStyle w:val="90"/>
        <w:ind w:firstLine="480"/>
        <w:contextualSpacing/>
        <w:rPr>
          <w:color w:val="auto"/>
          <w:sz w:val="24"/>
          <w:szCs w:val="16"/>
        </w:rPr>
      </w:pPr>
      <w:r>
        <w:rPr>
          <w:color w:val="auto"/>
          <w:sz w:val="24"/>
          <w:szCs w:val="16"/>
        </w:rPr>
        <w:t>（6）植被覆盖因子、工程措施因子、耕作措施因子</w:t>
      </w:r>
    </w:p>
    <w:p>
      <w:pPr>
        <w:pStyle w:val="90"/>
        <w:ind w:firstLine="480"/>
        <w:contextualSpacing/>
        <w:rPr>
          <w:rFonts w:eastAsiaTheme="minorEastAsia"/>
          <w:color w:val="auto"/>
          <w:sz w:val="24"/>
          <w:szCs w:val="16"/>
        </w:rPr>
      </w:pPr>
      <w:r>
        <w:rPr>
          <w:color w:val="auto"/>
          <w:sz w:val="24"/>
          <w:szCs w:val="16"/>
        </w:rPr>
        <w:t>扰动地表土壤流失量测算的植被覆盖因子、工程措施因子、耕作措施因子参考《生产建设项目土壤流失量测算导则》取值</w:t>
      </w:r>
      <w:r>
        <w:rPr>
          <w:rFonts w:hint="eastAsia"/>
          <w:color w:val="auto"/>
          <w:sz w:val="24"/>
          <w:szCs w:val="16"/>
        </w:rPr>
        <w:t>，详见表4</w:t>
      </w:r>
      <w:r>
        <w:rPr>
          <w:color w:val="auto"/>
          <w:sz w:val="24"/>
          <w:szCs w:val="16"/>
        </w:rPr>
        <w:t>.3</w:t>
      </w:r>
      <w:r>
        <w:rPr>
          <w:rFonts w:hint="eastAsia"/>
          <w:color w:val="auto"/>
          <w:sz w:val="24"/>
          <w:szCs w:val="16"/>
        </w:rPr>
        <w:t>-</w:t>
      </w:r>
      <w:r>
        <w:rPr>
          <w:color w:val="auto"/>
          <w:sz w:val="24"/>
          <w:szCs w:val="16"/>
        </w:rPr>
        <w:t>2</w:t>
      </w:r>
      <w:r>
        <w:rPr>
          <w:rFonts w:hint="eastAsia"/>
          <w:color w:val="auto"/>
          <w:sz w:val="24"/>
          <w:szCs w:val="16"/>
        </w:rPr>
        <w:t>。</w:t>
      </w:r>
    </w:p>
    <w:p>
      <w:pPr>
        <w:pStyle w:val="90"/>
        <w:ind w:firstLine="422"/>
        <w:contextualSpacing/>
        <w:jc w:val="center"/>
        <w:rPr>
          <w:b/>
          <w:bCs/>
          <w:color w:val="auto"/>
          <w:sz w:val="21"/>
          <w:szCs w:val="21"/>
        </w:rPr>
      </w:pPr>
      <w:r>
        <w:rPr>
          <w:b/>
          <w:bCs/>
          <w:color w:val="auto"/>
          <w:sz w:val="21"/>
          <w:szCs w:val="21"/>
        </w:rPr>
        <w:t>表</w:t>
      </w:r>
      <w:r>
        <w:rPr>
          <w:rFonts w:eastAsia="Times New Roman"/>
          <w:b/>
          <w:bCs/>
          <w:color w:val="auto"/>
          <w:sz w:val="21"/>
          <w:szCs w:val="21"/>
        </w:rPr>
        <w:t xml:space="preserve">4.3-2    </w:t>
      </w:r>
      <w:r>
        <w:rPr>
          <w:b/>
          <w:bCs/>
          <w:color w:val="auto"/>
          <w:sz w:val="21"/>
          <w:szCs w:val="21"/>
        </w:rPr>
        <w:t>施工期一般扰动地表区地表翻扰型土壤侵蚀模数计算表</w:t>
      </w:r>
    </w:p>
    <w:tbl>
      <w:tblPr>
        <w:tblStyle w:val="25"/>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990"/>
        <w:gridCol w:w="849"/>
        <w:gridCol w:w="848"/>
        <w:gridCol w:w="708"/>
        <w:gridCol w:w="827"/>
        <w:gridCol w:w="729"/>
        <w:gridCol w:w="708"/>
        <w:gridCol w:w="686"/>
        <w:gridCol w:w="849"/>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17" w:type="dxa"/>
            <w:vAlign w:val="center"/>
          </w:tcPr>
          <w:p>
            <w:pPr>
              <w:widowControl/>
              <w:jc w:val="center"/>
              <w:rPr>
                <w:bCs/>
                <w:color w:val="auto"/>
                <w:kern w:val="0"/>
                <w:sz w:val="21"/>
                <w:szCs w:val="21"/>
              </w:rPr>
            </w:pPr>
            <w:r>
              <w:rPr>
                <w:bCs/>
                <w:color w:val="auto"/>
                <w:kern w:val="0"/>
                <w:sz w:val="21"/>
                <w:szCs w:val="21"/>
              </w:rPr>
              <w:t>预测</w:t>
            </w:r>
            <w:r>
              <w:rPr>
                <w:rFonts w:hint="eastAsia"/>
                <w:bCs/>
                <w:color w:val="auto"/>
                <w:kern w:val="0"/>
                <w:sz w:val="21"/>
                <w:szCs w:val="21"/>
              </w:rPr>
              <w:t>单元</w:t>
            </w:r>
          </w:p>
        </w:tc>
        <w:tc>
          <w:tcPr>
            <w:tcW w:w="990" w:type="dxa"/>
            <w:vAlign w:val="center"/>
          </w:tcPr>
          <w:p>
            <w:pPr>
              <w:widowControl/>
              <w:jc w:val="center"/>
              <w:rPr>
                <w:bCs/>
                <w:color w:val="auto"/>
                <w:kern w:val="0"/>
                <w:sz w:val="21"/>
                <w:szCs w:val="21"/>
              </w:rPr>
            </w:pPr>
            <w:r>
              <w:rPr>
                <w:bCs/>
                <w:color w:val="auto"/>
                <w:kern w:val="0"/>
                <w:sz w:val="21"/>
                <w:szCs w:val="21"/>
              </w:rPr>
              <w:t>R</w:t>
            </w:r>
          </w:p>
        </w:tc>
        <w:tc>
          <w:tcPr>
            <w:tcW w:w="849" w:type="dxa"/>
            <w:vAlign w:val="center"/>
          </w:tcPr>
          <w:p>
            <w:pPr>
              <w:widowControl/>
              <w:jc w:val="center"/>
              <w:rPr>
                <w:bCs/>
                <w:color w:val="auto"/>
                <w:kern w:val="0"/>
                <w:sz w:val="21"/>
                <w:szCs w:val="21"/>
                <w:vertAlign w:val="subscript"/>
              </w:rPr>
            </w:pPr>
            <w:r>
              <w:rPr>
                <w:bCs/>
                <w:color w:val="auto"/>
                <w:kern w:val="0"/>
                <w:sz w:val="21"/>
                <w:szCs w:val="21"/>
              </w:rPr>
              <w:t>K</w:t>
            </w:r>
            <w:r>
              <w:rPr>
                <w:rFonts w:hint="eastAsia"/>
                <w:bCs/>
                <w:color w:val="auto"/>
                <w:kern w:val="0"/>
                <w:sz w:val="21"/>
                <w:szCs w:val="21"/>
                <w:vertAlign w:val="subscript"/>
              </w:rPr>
              <w:t>yd</w:t>
            </w:r>
          </w:p>
        </w:tc>
        <w:tc>
          <w:tcPr>
            <w:tcW w:w="848" w:type="dxa"/>
            <w:vAlign w:val="center"/>
          </w:tcPr>
          <w:p>
            <w:pPr>
              <w:widowControl/>
              <w:jc w:val="center"/>
              <w:rPr>
                <w:bCs/>
                <w:color w:val="auto"/>
                <w:kern w:val="0"/>
                <w:sz w:val="21"/>
                <w:szCs w:val="21"/>
                <w:vertAlign w:val="subscript"/>
              </w:rPr>
            </w:pPr>
            <w:r>
              <w:rPr>
                <w:bCs/>
                <w:color w:val="auto"/>
                <w:kern w:val="0"/>
                <w:sz w:val="21"/>
                <w:szCs w:val="21"/>
              </w:rPr>
              <w:t>L</w:t>
            </w:r>
            <w:r>
              <w:rPr>
                <w:rFonts w:hint="eastAsia"/>
                <w:bCs/>
                <w:color w:val="auto"/>
                <w:kern w:val="0"/>
                <w:sz w:val="21"/>
                <w:szCs w:val="21"/>
                <w:vertAlign w:val="subscript"/>
              </w:rPr>
              <w:t>y</w:t>
            </w:r>
          </w:p>
        </w:tc>
        <w:tc>
          <w:tcPr>
            <w:tcW w:w="708" w:type="dxa"/>
            <w:vAlign w:val="center"/>
          </w:tcPr>
          <w:p>
            <w:pPr>
              <w:widowControl/>
              <w:jc w:val="center"/>
              <w:rPr>
                <w:bCs/>
                <w:color w:val="auto"/>
                <w:kern w:val="0"/>
                <w:sz w:val="21"/>
                <w:szCs w:val="21"/>
              </w:rPr>
            </w:pPr>
            <w:r>
              <w:rPr>
                <w:bCs/>
                <w:color w:val="auto"/>
                <w:kern w:val="0"/>
                <w:sz w:val="21"/>
                <w:szCs w:val="21"/>
              </w:rPr>
              <w:t>S</w:t>
            </w:r>
            <w:r>
              <w:rPr>
                <w:rFonts w:hint="eastAsia"/>
                <w:bCs/>
                <w:color w:val="auto"/>
                <w:kern w:val="0"/>
                <w:sz w:val="21"/>
                <w:szCs w:val="21"/>
                <w:vertAlign w:val="subscript"/>
              </w:rPr>
              <w:t>y</w:t>
            </w:r>
          </w:p>
        </w:tc>
        <w:tc>
          <w:tcPr>
            <w:tcW w:w="827" w:type="dxa"/>
            <w:vAlign w:val="center"/>
          </w:tcPr>
          <w:p>
            <w:pPr>
              <w:widowControl/>
              <w:jc w:val="center"/>
              <w:rPr>
                <w:bCs/>
                <w:color w:val="auto"/>
                <w:kern w:val="0"/>
                <w:sz w:val="21"/>
                <w:szCs w:val="21"/>
              </w:rPr>
            </w:pPr>
            <w:r>
              <w:rPr>
                <w:rFonts w:hint="eastAsia"/>
                <w:bCs/>
                <w:color w:val="auto"/>
                <w:kern w:val="0"/>
                <w:sz w:val="21"/>
                <w:szCs w:val="21"/>
              </w:rPr>
              <w:t>B</w:t>
            </w:r>
          </w:p>
        </w:tc>
        <w:tc>
          <w:tcPr>
            <w:tcW w:w="729" w:type="dxa"/>
            <w:vAlign w:val="center"/>
          </w:tcPr>
          <w:p>
            <w:pPr>
              <w:widowControl/>
              <w:jc w:val="center"/>
              <w:rPr>
                <w:bCs/>
                <w:color w:val="auto"/>
                <w:kern w:val="0"/>
                <w:sz w:val="21"/>
                <w:szCs w:val="21"/>
              </w:rPr>
            </w:pPr>
            <w:r>
              <w:rPr>
                <w:rFonts w:hint="eastAsia"/>
                <w:bCs/>
                <w:color w:val="auto"/>
                <w:kern w:val="0"/>
                <w:sz w:val="21"/>
                <w:szCs w:val="21"/>
              </w:rPr>
              <w:t>E</w:t>
            </w:r>
          </w:p>
        </w:tc>
        <w:tc>
          <w:tcPr>
            <w:tcW w:w="708" w:type="dxa"/>
            <w:vAlign w:val="center"/>
          </w:tcPr>
          <w:p>
            <w:pPr>
              <w:widowControl/>
              <w:jc w:val="center"/>
              <w:rPr>
                <w:bCs/>
                <w:color w:val="auto"/>
                <w:kern w:val="0"/>
                <w:sz w:val="21"/>
                <w:szCs w:val="21"/>
              </w:rPr>
            </w:pPr>
            <w:r>
              <w:rPr>
                <w:rFonts w:hint="eastAsia"/>
                <w:bCs/>
                <w:color w:val="auto"/>
                <w:kern w:val="0"/>
                <w:sz w:val="21"/>
                <w:szCs w:val="21"/>
              </w:rPr>
              <w:t>T</w:t>
            </w:r>
          </w:p>
        </w:tc>
        <w:tc>
          <w:tcPr>
            <w:tcW w:w="686" w:type="dxa"/>
            <w:vAlign w:val="center"/>
          </w:tcPr>
          <w:p>
            <w:pPr>
              <w:widowControl/>
              <w:jc w:val="center"/>
              <w:rPr>
                <w:bCs/>
                <w:color w:val="auto"/>
                <w:kern w:val="0"/>
                <w:sz w:val="21"/>
                <w:szCs w:val="21"/>
              </w:rPr>
            </w:pPr>
            <w:r>
              <w:rPr>
                <w:rFonts w:hint="eastAsia"/>
                <w:bCs/>
                <w:color w:val="auto"/>
                <w:kern w:val="0"/>
                <w:sz w:val="21"/>
                <w:szCs w:val="21"/>
              </w:rPr>
              <w:t>A</w:t>
            </w:r>
          </w:p>
        </w:tc>
        <w:tc>
          <w:tcPr>
            <w:tcW w:w="849" w:type="dxa"/>
            <w:vAlign w:val="center"/>
          </w:tcPr>
          <w:p>
            <w:pPr>
              <w:widowControl/>
              <w:jc w:val="center"/>
              <w:rPr>
                <w:bCs/>
                <w:color w:val="auto"/>
                <w:kern w:val="0"/>
                <w:sz w:val="21"/>
                <w:szCs w:val="21"/>
              </w:rPr>
            </w:pPr>
            <w:r>
              <w:rPr>
                <w:rFonts w:hint="eastAsia"/>
                <w:bCs/>
                <w:color w:val="auto"/>
                <w:kern w:val="0"/>
                <w:sz w:val="21"/>
                <w:szCs w:val="21"/>
              </w:rPr>
              <w:t>M</w:t>
            </w:r>
            <w:r>
              <w:rPr>
                <w:rFonts w:hint="eastAsia"/>
                <w:bCs/>
                <w:color w:val="auto"/>
                <w:kern w:val="0"/>
                <w:sz w:val="21"/>
                <w:szCs w:val="21"/>
                <w:vertAlign w:val="subscript"/>
              </w:rPr>
              <w:t>yd</w:t>
            </w:r>
          </w:p>
        </w:tc>
        <w:tc>
          <w:tcPr>
            <w:tcW w:w="848" w:type="dxa"/>
            <w:vAlign w:val="center"/>
          </w:tcPr>
          <w:p>
            <w:pPr>
              <w:widowControl/>
              <w:jc w:val="center"/>
              <w:rPr>
                <w:bCs/>
                <w:color w:val="auto"/>
                <w:kern w:val="0"/>
                <w:sz w:val="21"/>
                <w:szCs w:val="21"/>
              </w:rPr>
            </w:pPr>
            <w:r>
              <w:rPr>
                <w:rFonts w:hint="eastAsia"/>
                <w:bCs/>
                <w:color w:val="auto"/>
                <w:kern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7" w:type="dxa"/>
            <w:vAlign w:val="center"/>
          </w:tcPr>
          <w:p>
            <w:pPr>
              <w:jc w:val="center"/>
              <w:rPr>
                <w:color w:val="auto"/>
                <w:kern w:val="0"/>
                <w:sz w:val="21"/>
                <w:szCs w:val="21"/>
              </w:rPr>
            </w:pPr>
            <w:r>
              <w:rPr>
                <w:rFonts w:hint="eastAsia"/>
                <w:color w:val="auto"/>
                <w:kern w:val="0"/>
                <w:sz w:val="21"/>
                <w:szCs w:val="21"/>
              </w:rPr>
              <w:t>建构筑物区</w:t>
            </w:r>
          </w:p>
        </w:tc>
        <w:tc>
          <w:tcPr>
            <w:tcW w:w="990" w:type="dxa"/>
            <w:vAlign w:val="center"/>
          </w:tcPr>
          <w:p>
            <w:pPr>
              <w:widowControl/>
              <w:jc w:val="center"/>
              <w:rPr>
                <w:color w:val="auto"/>
                <w:kern w:val="0"/>
                <w:sz w:val="21"/>
                <w:szCs w:val="21"/>
              </w:rPr>
            </w:pPr>
            <w:r>
              <w:rPr>
                <w:color w:val="auto"/>
                <w:spacing w:val="-10"/>
                <w:sz w:val="21"/>
                <w:szCs w:val="21"/>
              </w:rPr>
              <w:t>2035.95</w:t>
            </w:r>
          </w:p>
        </w:tc>
        <w:tc>
          <w:tcPr>
            <w:tcW w:w="849" w:type="dxa"/>
            <w:vAlign w:val="center"/>
          </w:tcPr>
          <w:p>
            <w:pPr>
              <w:widowControl/>
              <w:jc w:val="center"/>
              <w:rPr>
                <w:color w:val="auto"/>
                <w:kern w:val="0"/>
                <w:sz w:val="21"/>
                <w:szCs w:val="21"/>
              </w:rPr>
            </w:pPr>
            <w:r>
              <w:rPr>
                <w:color w:val="auto"/>
                <w:kern w:val="0"/>
                <w:sz w:val="21"/>
                <w:szCs w:val="21"/>
              </w:rPr>
              <w:t>0.0807</w:t>
            </w:r>
          </w:p>
        </w:tc>
        <w:tc>
          <w:tcPr>
            <w:tcW w:w="848" w:type="dxa"/>
            <w:vAlign w:val="center"/>
          </w:tcPr>
          <w:p>
            <w:pPr>
              <w:widowControl/>
              <w:jc w:val="center"/>
              <w:rPr>
                <w:color w:val="auto"/>
                <w:kern w:val="0"/>
                <w:sz w:val="21"/>
                <w:szCs w:val="21"/>
              </w:rPr>
            </w:pPr>
            <w:r>
              <w:rPr>
                <w:color w:val="auto"/>
                <w:kern w:val="0"/>
                <w:sz w:val="21"/>
                <w:szCs w:val="21"/>
              </w:rPr>
              <w:t>1.390</w:t>
            </w:r>
          </w:p>
        </w:tc>
        <w:tc>
          <w:tcPr>
            <w:tcW w:w="708" w:type="dxa"/>
            <w:vAlign w:val="center"/>
          </w:tcPr>
          <w:p>
            <w:pPr>
              <w:widowControl/>
              <w:jc w:val="center"/>
              <w:rPr>
                <w:color w:val="auto"/>
                <w:kern w:val="0"/>
                <w:sz w:val="21"/>
                <w:szCs w:val="21"/>
              </w:rPr>
            </w:pPr>
            <w:r>
              <w:rPr>
                <w:rFonts w:hint="eastAsia"/>
                <w:color w:val="auto"/>
                <w:kern w:val="0"/>
                <w:sz w:val="21"/>
                <w:szCs w:val="21"/>
              </w:rPr>
              <w:t>0.</w:t>
            </w:r>
            <w:r>
              <w:rPr>
                <w:color w:val="auto"/>
                <w:kern w:val="0"/>
                <w:sz w:val="21"/>
                <w:szCs w:val="21"/>
              </w:rPr>
              <w:t>206</w:t>
            </w:r>
          </w:p>
        </w:tc>
        <w:tc>
          <w:tcPr>
            <w:tcW w:w="827" w:type="dxa"/>
            <w:vAlign w:val="center"/>
          </w:tcPr>
          <w:p>
            <w:pPr>
              <w:widowControl/>
              <w:jc w:val="center"/>
              <w:rPr>
                <w:color w:val="auto"/>
                <w:kern w:val="0"/>
                <w:sz w:val="21"/>
                <w:szCs w:val="21"/>
              </w:rPr>
            </w:pPr>
            <w:r>
              <w:rPr>
                <w:color w:val="auto"/>
                <w:kern w:val="0"/>
                <w:sz w:val="21"/>
                <w:szCs w:val="21"/>
              </w:rPr>
              <w:t>0.516</w:t>
            </w:r>
          </w:p>
        </w:tc>
        <w:tc>
          <w:tcPr>
            <w:tcW w:w="729" w:type="dxa"/>
            <w:vAlign w:val="center"/>
          </w:tcPr>
          <w:p>
            <w:pPr>
              <w:widowControl/>
              <w:jc w:val="center"/>
              <w:rPr>
                <w:color w:val="auto"/>
                <w:kern w:val="0"/>
                <w:sz w:val="21"/>
                <w:szCs w:val="21"/>
              </w:rPr>
            </w:pPr>
            <w:r>
              <w:rPr>
                <w:color w:val="auto"/>
                <w:kern w:val="0"/>
                <w:sz w:val="21"/>
                <w:szCs w:val="21"/>
              </w:rPr>
              <w:t>1</w:t>
            </w:r>
          </w:p>
        </w:tc>
        <w:tc>
          <w:tcPr>
            <w:tcW w:w="708" w:type="dxa"/>
            <w:vAlign w:val="center"/>
          </w:tcPr>
          <w:p>
            <w:pPr>
              <w:widowControl/>
              <w:jc w:val="center"/>
              <w:rPr>
                <w:color w:val="auto"/>
                <w:kern w:val="0"/>
                <w:sz w:val="21"/>
                <w:szCs w:val="21"/>
              </w:rPr>
            </w:pPr>
            <w:r>
              <w:rPr>
                <w:rFonts w:hint="eastAsia"/>
                <w:color w:val="auto"/>
                <w:kern w:val="0"/>
                <w:sz w:val="21"/>
                <w:szCs w:val="21"/>
              </w:rPr>
              <w:t>1</w:t>
            </w:r>
          </w:p>
        </w:tc>
        <w:tc>
          <w:tcPr>
            <w:tcW w:w="686" w:type="dxa"/>
            <w:vAlign w:val="center"/>
          </w:tcPr>
          <w:p>
            <w:pPr>
              <w:jc w:val="center"/>
              <w:textAlignment w:val="center"/>
              <w:rPr>
                <w:color w:val="auto"/>
                <w:kern w:val="0"/>
                <w:sz w:val="21"/>
                <w:szCs w:val="21"/>
                <w:lang w:bidi="ar"/>
              </w:rPr>
            </w:pPr>
            <w:r>
              <w:rPr>
                <w:rFonts w:hint="eastAsia"/>
                <w:bCs/>
                <w:color w:val="auto"/>
                <w:sz w:val="21"/>
                <w:szCs w:val="21"/>
              </w:rPr>
              <w:t>0</w:t>
            </w:r>
            <w:r>
              <w:rPr>
                <w:bCs/>
                <w:color w:val="auto"/>
                <w:sz w:val="21"/>
                <w:szCs w:val="21"/>
              </w:rPr>
              <w:t>.82</w:t>
            </w:r>
          </w:p>
        </w:tc>
        <w:tc>
          <w:tcPr>
            <w:tcW w:w="849" w:type="dxa"/>
            <w:vAlign w:val="center"/>
          </w:tcPr>
          <w:p>
            <w:pPr>
              <w:widowControl/>
              <w:jc w:val="center"/>
              <w:rPr>
                <w:bCs/>
                <w:color w:val="auto"/>
                <w:kern w:val="0"/>
                <w:sz w:val="21"/>
                <w:szCs w:val="21"/>
              </w:rPr>
            </w:pPr>
            <w:r>
              <w:rPr>
                <w:rFonts w:eastAsia="等线"/>
                <w:color w:val="auto"/>
                <w:sz w:val="21"/>
                <w:szCs w:val="21"/>
              </w:rPr>
              <w:t>20</w:t>
            </w:r>
          </w:p>
        </w:tc>
        <w:tc>
          <w:tcPr>
            <w:tcW w:w="848" w:type="dxa"/>
            <w:vAlign w:val="center"/>
          </w:tcPr>
          <w:p>
            <w:pPr>
              <w:widowControl/>
              <w:jc w:val="center"/>
              <w:rPr>
                <w:bCs/>
                <w:color w:val="auto"/>
                <w:kern w:val="0"/>
                <w:sz w:val="21"/>
                <w:szCs w:val="21"/>
              </w:rPr>
            </w:pPr>
            <w:r>
              <w:rPr>
                <w:rFonts w:eastAsia="等线"/>
                <w:color w:val="auto"/>
                <w:sz w:val="21"/>
                <w:szCs w:val="21"/>
              </w:rPr>
              <w:t>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7" w:type="dxa"/>
            <w:vAlign w:val="center"/>
          </w:tcPr>
          <w:p>
            <w:pPr>
              <w:jc w:val="center"/>
              <w:rPr>
                <w:color w:val="auto"/>
                <w:kern w:val="0"/>
                <w:sz w:val="21"/>
                <w:szCs w:val="21"/>
              </w:rPr>
            </w:pPr>
            <w:r>
              <w:rPr>
                <w:rFonts w:hint="eastAsia"/>
                <w:color w:val="auto"/>
                <w:kern w:val="0"/>
                <w:sz w:val="21"/>
                <w:szCs w:val="21"/>
              </w:rPr>
              <w:t>道路地面硬化区</w:t>
            </w:r>
          </w:p>
        </w:tc>
        <w:tc>
          <w:tcPr>
            <w:tcW w:w="990" w:type="dxa"/>
            <w:vAlign w:val="center"/>
          </w:tcPr>
          <w:p>
            <w:pPr>
              <w:widowControl/>
              <w:jc w:val="center"/>
              <w:rPr>
                <w:color w:val="auto"/>
                <w:spacing w:val="-10"/>
                <w:sz w:val="21"/>
                <w:szCs w:val="21"/>
              </w:rPr>
            </w:pPr>
            <w:r>
              <w:rPr>
                <w:color w:val="auto"/>
                <w:spacing w:val="-10"/>
                <w:sz w:val="21"/>
                <w:szCs w:val="21"/>
              </w:rPr>
              <w:t>2035.95</w:t>
            </w:r>
          </w:p>
        </w:tc>
        <w:tc>
          <w:tcPr>
            <w:tcW w:w="849" w:type="dxa"/>
            <w:vAlign w:val="center"/>
          </w:tcPr>
          <w:p>
            <w:pPr>
              <w:widowControl/>
              <w:jc w:val="center"/>
              <w:rPr>
                <w:color w:val="auto"/>
                <w:kern w:val="0"/>
                <w:sz w:val="21"/>
                <w:szCs w:val="21"/>
              </w:rPr>
            </w:pPr>
            <w:r>
              <w:rPr>
                <w:color w:val="auto"/>
                <w:kern w:val="0"/>
                <w:sz w:val="21"/>
                <w:szCs w:val="21"/>
              </w:rPr>
              <w:t>0.0807</w:t>
            </w:r>
          </w:p>
        </w:tc>
        <w:tc>
          <w:tcPr>
            <w:tcW w:w="848" w:type="dxa"/>
            <w:vAlign w:val="center"/>
          </w:tcPr>
          <w:p>
            <w:pPr>
              <w:widowControl/>
              <w:jc w:val="center"/>
              <w:rPr>
                <w:color w:val="auto"/>
                <w:kern w:val="0"/>
                <w:sz w:val="21"/>
                <w:szCs w:val="21"/>
              </w:rPr>
            </w:pPr>
            <w:r>
              <w:rPr>
                <w:color w:val="auto"/>
                <w:kern w:val="0"/>
                <w:sz w:val="21"/>
                <w:szCs w:val="21"/>
              </w:rPr>
              <w:t>1.380</w:t>
            </w:r>
          </w:p>
        </w:tc>
        <w:tc>
          <w:tcPr>
            <w:tcW w:w="708" w:type="dxa"/>
            <w:vAlign w:val="center"/>
          </w:tcPr>
          <w:p>
            <w:pPr>
              <w:widowControl/>
              <w:jc w:val="center"/>
              <w:rPr>
                <w:color w:val="auto"/>
                <w:kern w:val="0"/>
                <w:sz w:val="21"/>
                <w:szCs w:val="21"/>
              </w:rPr>
            </w:pPr>
            <w:r>
              <w:rPr>
                <w:rFonts w:hint="eastAsia"/>
                <w:color w:val="auto"/>
                <w:kern w:val="0"/>
                <w:sz w:val="21"/>
                <w:szCs w:val="21"/>
              </w:rPr>
              <w:t>0.</w:t>
            </w:r>
            <w:r>
              <w:rPr>
                <w:color w:val="auto"/>
                <w:kern w:val="0"/>
                <w:sz w:val="21"/>
                <w:szCs w:val="21"/>
              </w:rPr>
              <w:t>206</w:t>
            </w:r>
          </w:p>
        </w:tc>
        <w:tc>
          <w:tcPr>
            <w:tcW w:w="827" w:type="dxa"/>
            <w:vAlign w:val="center"/>
          </w:tcPr>
          <w:p>
            <w:pPr>
              <w:widowControl/>
              <w:jc w:val="center"/>
              <w:rPr>
                <w:color w:val="auto"/>
                <w:kern w:val="0"/>
                <w:sz w:val="21"/>
                <w:szCs w:val="21"/>
              </w:rPr>
            </w:pPr>
            <w:r>
              <w:rPr>
                <w:color w:val="auto"/>
                <w:kern w:val="0"/>
                <w:sz w:val="21"/>
                <w:szCs w:val="21"/>
              </w:rPr>
              <w:t>0.516</w:t>
            </w:r>
          </w:p>
        </w:tc>
        <w:tc>
          <w:tcPr>
            <w:tcW w:w="729" w:type="dxa"/>
            <w:vAlign w:val="center"/>
          </w:tcPr>
          <w:p>
            <w:pPr>
              <w:widowControl/>
              <w:jc w:val="center"/>
              <w:rPr>
                <w:color w:val="auto"/>
                <w:kern w:val="0"/>
                <w:sz w:val="21"/>
                <w:szCs w:val="21"/>
              </w:rPr>
            </w:pPr>
            <w:r>
              <w:rPr>
                <w:rFonts w:hint="eastAsia"/>
                <w:color w:val="auto"/>
                <w:kern w:val="0"/>
                <w:sz w:val="21"/>
                <w:szCs w:val="21"/>
              </w:rPr>
              <w:t>1</w:t>
            </w:r>
          </w:p>
        </w:tc>
        <w:tc>
          <w:tcPr>
            <w:tcW w:w="708" w:type="dxa"/>
            <w:vAlign w:val="center"/>
          </w:tcPr>
          <w:p>
            <w:pPr>
              <w:widowControl/>
              <w:jc w:val="center"/>
              <w:rPr>
                <w:color w:val="auto"/>
                <w:kern w:val="0"/>
                <w:sz w:val="21"/>
                <w:szCs w:val="21"/>
              </w:rPr>
            </w:pPr>
            <w:r>
              <w:rPr>
                <w:rFonts w:hint="eastAsia"/>
                <w:color w:val="auto"/>
                <w:kern w:val="0"/>
                <w:sz w:val="21"/>
                <w:szCs w:val="21"/>
              </w:rPr>
              <w:t>1</w:t>
            </w:r>
          </w:p>
        </w:tc>
        <w:tc>
          <w:tcPr>
            <w:tcW w:w="686" w:type="dxa"/>
            <w:vAlign w:val="center"/>
          </w:tcPr>
          <w:p>
            <w:pPr>
              <w:jc w:val="center"/>
              <w:textAlignment w:val="center"/>
              <w:rPr>
                <w:color w:val="auto"/>
                <w:kern w:val="0"/>
                <w:sz w:val="21"/>
                <w:szCs w:val="21"/>
                <w:lang w:bidi="ar"/>
              </w:rPr>
            </w:pPr>
            <w:r>
              <w:rPr>
                <w:rFonts w:hint="eastAsia"/>
                <w:bCs/>
                <w:color w:val="auto"/>
                <w:sz w:val="21"/>
                <w:szCs w:val="21"/>
              </w:rPr>
              <w:t>0</w:t>
            </w:r>
            <w:r>
              <w:rPr>
                <w:bCs/>
                <w:color w:val="auto"/>
                <w:sz w:val="21"/>
                <w:szCs w:val="21"/>
              </w:rPr>
              <w:t>.58</w:t>
            </w:r>
          </w:p>
        </w:tc>
        <w:tc>
          <w:tcPr>
            <w:tcW w:w="849" w:type="dxa"/>
            <w:vAlign w:val="center"/>
          </w:tcPr>
          <w:p>
            <w:pPr>
              <w:widowControl/>
              <w:jc w:val="center"/>
              <w:rPr>
                <w:bCs/>
                <w:color w:val="auto"/>
                <w:kern w:val="0"/>
                <w:sz w:val="21"/>
                <w:szCs w:val="21"/>
              </w:rPr>
            </w:pPr>
            <w:r>
              <w:rPr>
                <w:rFonts w:eastAsia="等线"/>
                <w:color w:val="auto"/>
                <w:sz w:val="21"/>
                <w:szCs w:val="21"/>
              </w:rPr>
              <w:t>14</w:t>
            </w:r>
          </w:p>
        </w:tc>
        <w:tc>
          <w:tcPr>
            <w:tcW w:w="848" w:type="dxa"/>
            <w:vAlign w:val="center"/>
          </w:tcPr>
          <w:p>
            <w:pPr>
              <w:widowControl/>
              <w:jc w:val="center"/>
              <w:rPr>
                <w:bCs/>
                <w:color w:val="auto"/>
                <w:kern w:val="0"/>
                <w:sz w:val="21"/>
                <w:szCs w:val="21"/>
              </w:rPr>
            </w:pPr>
            <w:r>
              <w:rPr>
                <w:rFonts w:eastAsia="等线"/>
                <w:color w:val="auto"/>
                <w:sz w:val="21"/>
                <w:szCs w:val="21"/>
              </w:rPr>
              <w:t>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7" w:type="dxa"/>
            <w:vAlign w:val="center"/>
          </w:tcPr>
          <w:p>
            <w:pPr>
              <w:jc w:val="center"/>
              <w:rPr>
                <w:color w:val="auto"/>
                <w:kern w:val="0"/>
                <w:sz w:val="21"/>
                <w:szCs w:val="21"/>
              </w:rPr>
            </w:pPr>
            <w:r>
              <w:rPr>
                <w:rFonts w:hint="eastAsia"/>
                <w:color w:val="auto"/>
                <w:kern w:val="0"/>
                <w:sz w:val="21"/>
                <w:szCs w:val="21"/>
              </w:rPr>
              <w:t>绿化区</w:t>
            </w:r>
          </w:p>
        </w:tc>
        <w:tc>
          <w:tcPr>
            <w:tcW w:w="990" w:type="dxa"/>
            <w:vAlign w:val="center"/>
          </w:tcPr>
          <w:p>
            <w:pPr>
              <w:widowControl/>
              <w:jc w:val="center"/>
              <w:rPr>
                <w:color w:val="auto"/>
                <w:spacing w:val="-10"/>
                <w:sz w:val="21"/>
                <w:szCs w:val="21"/>
              </w:rPr>
            </w:pPr>
            <w:r>
              <w:rPr>
                <w:color w:val="auto"/>
                <w:spacing w:val="-10"/>
                <w:sz w:val="21"/>
                <w:szCs w:val="21"/>
              </w:rPr>
              <w:t>2035.95</w:t>
            </w:r>
          </w:p>
        </w:tc>
        <w:tc>
          <w:tcPr>
            <w:tcW w:w="849" w:type="dxa"/>
            <w:vAlign w:val="center"/>
          </w:tcPr>
          <w:p>
            <w:pPr>
              <w:widowControl/>
              <w:jc w:val="center"/>
              <w:rPr>
                <w:color w:val="auto"/>
                <w:kern w:val="0"/>
                <w:sz w:val="21"/>
                <w:szCs w:val="21"/>
              </w:rPr>
            </w:pPr>
            <w:r>
              <w:rPr>
                <w:color w:val="auto"/>
                <w:kern w:val="0"/>
                <w:sz w:val="21"/>
                <w:szCs w:val="21"/>
              </w:rPr>
              <w:t>0.0807</w:t>
            </w:r>
          </w:p>
        </w:tc>
        <w:tc>
          <w:tcPr>
            <w:tcW w:w="848" w:type="dxa"/>
            <w:vAlign w:val="center"/>
          </w:tcPr>
          <w:p>
            <w:pPr>
              <w:widowControl/>
              <w:jc w:val="center"/>
              <w:rPr>
                <w:color w:val="auto"/>
                <w:kern w:val="0"/>
                <w:sz w:val="21"/>
                <w:szCs w:val="21"/>
              </w:rPr>
            </w:pPr>
            <w:r>
              <w:rPr>
                <w:color w:val="auto"/>
                <w:kern w:val="0"/>
                <w:sz w:val="21"/>
                <w:szCs w:val="21"/>
              </w:rPr>
              <w:t>1.380</w:t>
            </w:r>
          </w:p>
        </w:tc>
        <w:tc>
          <w:tcPr>
            <w:tcW w:w="708" w:type="dxa"/>
            <w:vAlign w:val="center"/>
          </w:tcPr>
          <w:p>
            <w:pPr>
              <w:widowControl/>
              <w:jc w:val="center"/>
              <w:rPr>
                <w:color w:val="auto"/>
                <w:kern w:val="0"/>
                <w:sz w:val="21"/>
                <w:szCs w:val="21"/>
              </w:rPr>
            </w:pPr>
            <w:r>
              <w:rPr>
                <w:rFonts w:hint="eastAsia"/>
                <w:color w:val="auto"/>
                <w:kern w:val="0"/>
                <w:sz w:val="21"/>
                <w:szCs w:val="21"/>
              </w:rPr>
              <w:t>0.</w:t>
            </w:r>
            <w:r>
              <w:rPr>
                <w:color w:val="auto"/>
                <w:kern w:val="0"/>
                <w:sz w:val="21"/>
                <w:szCs w:val="21"/>
              </w:rPr>
              <w:t>206</w:t>
            </w:r>
          </w:p>
        </w:tc>
        <w:tc>
          <w:tcPr>
            <w:tcW w:w="827" w:type="dxa"/>
            <w:vAlign w:val="center"/>
          </w:tcPr>
          <w:p>
            <w:pPr>
              <w:widowControl/>
              <w:jc w:val="center"/>
              <w:rPr>
                <w:color w:val="auto"/>
                <w:kern w:val="0"/>
                <w:sz w:val="21"/>
                <w:szCs w:val="21"/>
              </w:rPr>
            </w:pPr>
            <w:r>
              <w:rPr>
                <w:color w:val="auto"/>
                <w:kern w:val="0"/>
                <w:sz w:val="21"/>
                <w:szCs w:val="21"/>
              </w:rPr>
              <w:t>0.516</w:t>
            </w:r>
          </w:p>
        </w:tc>
        <w:tc>
          <w:tcPr>
            <w:tcW w:w="729" w:type="dxa"/>
            <w:vAlign w:val="center"/>
          </w:tcPr>
          <w:p>
            <w:pPr>
              <w:widowControl/>
              <w:jc w:val="center"/>
              <w:rPr>
                <w:color w:val="auto"/>
                <w:kern w:val="0"/>
                <w:sz w:val="21"/>
                <w:szCs w:val="21"/>
              </w:rPr>
            </w:pPr>
            <w:r>
              <w:rPr>
                <w:rFonts w:hint="eastAsia"/>
                <w:color w:val="auto"/>
                <w:kern w:val="0"/>
                <w:sz w:val="21"/>
                <w:szCs w:val="21"/>
              </w:rPr>
              <w:t>1</w:t>
            </w:r>
          </w:p>
        </w:tc>
        <w:tc>
          <w:tcPr>
            <w:tcW w:w="708" w:type="dxa"/>
            <w:vAlign w:val="center"/>
          </w:tcPr>
          <w:p>
            <w:pPr>
              <w:widowControl/>
              <w:jc w:val="center"/>
              <w:rPr>
                <w:color w:val="auto"/>
                <w:kern w:val="0"/>
                <w:sz w:val="21"/>
                <w:szCs w:val="21"/>
              </w:rPr>
            </w:pPr>
            <w:r>
              <w:rPr>
                <w:rFonts w:hint="eastAsia"/>
                <w:color w:val="auto"/>
                <w:kern w:val="0"/>
                <w:sz w:val="21"/>
                <w:szCs w:val="21"/>
              </w:rPr>
              <w:t>1</w:t>
            </w:r>
          </w:p>
        </w:tc>
        <w:tc>
          <w:tcPr>
            <w:tcW w:w="686" w:type="dxa"/>
            <w:vAlign w:val="center"/>
          </w:tcPr>
          <w:p>
            <w:pPr>
              <w:jc w:val="center"/>
              <w:textAlignment w:val="center"/>
              <w:rPr>
                <w:color w:val="auto"/>
                <w:kern w:val="0"/>
                <w:sz w:val="21"/>
                <w:szCs w:val="21"/>
                <w:lang w:bidi="ar"/>
              </w:rPr>
            </w:pPr>
            <w:r>
              <w:rPr>
                <w:rFonts w:hint="eastAsia"/>
                <w:color w:val="auto"/>
                <w:sz w:val="21"/>
                <w:szCs w:val="21"/>
              </w:rPr>
              <w:t>1</w:t>
            </w:r>
            <w:r>
              <w:rPr>
                <w:color w:val="auto"/>
                <w:sz w:val="21"/>
                <w:szCs w:val="21"/>
              </w:rPr>
              <w:t>.60</w:t>
            </w:r>
          </w:p>
        </w:tc>
        <w:tc>
          <w:tcPr>
            <w:tcW w:w="849" w:type="dxa"/>
            <w:vAlign w:val="center"/>
          </w:tcPr>
          <w:p>
            <w:pPr>
              <w:widowControl/>
              <w:jc w:val="center"/>
              <w:rPr>
                <w:rFonts w:eastAsia="等线"/>
                <w:color w:val="auto"/>
                <w:sz w:val="21"/>
                <w:szCs w:val="21"/>
              </w:rPr>
            </w:pPr>
            <w:r>
              <w:rPr>
                <w:rFonts w:eastAsia="等线"/>
                <w:color w:val="auto"/>
                <w:sz w:val="21"/>
                <w:szCs w:val="21"/>
              </w:rPr>
              <w:t>39</w:t>
            </w:r>
          </w:p>
        </w:tc>
        <w:tc>
          <w:tcPr>
            <w:tcW w:w="848" w:type="dxa"/>
            <w:vAlign w:val="center"/>
          </w:tcPr>
          <w:p>
            <w:pPr>
              <w:widowControl/>
              <w:jc w:val="center"/>
              <w:rPr>
                <w:rFonts w:eastAsia="等线"/>
                <w:color w:val="auto"/>
                <w:sz w:val="21"/>
                <w:szCs w:val="21"/>
              </w:rPr>
            </w:pPr>
            <w:r>
              <w:rPr>
                <w:rFonts w:eastAsia="等线"/>
                <w:color w:val="auto"/>
                <w:sz w:val="21"/>
                <w:szCs w:val="21"/>
              </w:rPr>
              <w:t>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7" w:type="dxa"/>
            <w:vAlign w:val="center"/>
          </w:tcPr>
          <w:p>
            <w:pPr>
              <w:jc w:val="center"/>
              <w:rPr>
                <w:color w:val="auto"/>
                <w:kern w:val="0"/>
                <w:sz w:val="21"/>
                <w:szCs w:val="21"/>
              </w:rPr>
            </w:pPr>
            <w:r>
              <w:rPr>
                <w:rFonts w:hint="eastAsia"/>
                <w:color w:val="auto"/>
                <w:kern w:val="0"/>
                <w:sz w:val="21"/>
                <w:szCs w:val="21"/>
              </w:rPr>
              <w:t>工业园区管网区</w:t>
            </w:r>
          </w:p>
        </w:tc>
        <w:tc>
          <w:tcPr>
            <w:tcW w:w="990" w:type="dxa"/>
            <w:vAlign w:val="center"/>
          </w:tcPr>
          <w:p>
            <w:pPr>
              <w:widowControl/>
              <w:jc w:val="center"/>
              <w:rPr>
                <w:color w:val="auto"/>
                <w:spacing w:val="-10"/>
                <w:sz w:val="21"/>
                <w:szCs w:val="21"/>
              </w:rPr>
            </w:pPr>
            <w:r>
              <w:rPr>
                <w:color w:val="auto"/>
                <w:spacing w:val="-10"/>
                <w:sz w:val="21"/>
                <w:szCs w:val="21"/>
              </w:rPr>
              <w:t>2035.95</w:t>
            </w:r>
          </w:p>
        </w:tc>
        <w:tc>
          <w:tcPr>
            <w:tcW w:w="849" w:type="dxa"/>
            <w:vAlign w:val="center"/>
          </w:tcPr>
          <w:p>
            <w:pPr>
              <w:widowControl/>
              <w:jc w:val="center"/>
              <w:rPr>
                <w:color w:val="auto"/>
                <w:kern w:val="0"/>
                <w:sz w:val="21"/>
                <w:szCs w:val="21"/>
              </w:rPr>
            </w:pPr>
            <w:r>
              <w:rPr>
                <w:color w:val="auto"/>
                <w:kern w:val="0"/>
                <w:sz w:val="21"/>
                <w:szCs w:val="21"/>
              </w:rPr>
              <w:t>0.0807</w:t>
            </w:r>
          </w:p>
        </w:tc>
        <w:tc>
          <w:tcPr>
            <w:tcW w:w="848" w:type="dxa"/>
            <w:vAlign w:val="center"/>
          </w:tcPr>
          <w:p>
            <w:pPr>
              <w:widowControl/>
              <w:jc w:val="center"/>
              <w:rPr>
                <w:color w:val="auto"/>
                <w:kern w:val="0"/>
                <w:sz w:val="21"/>
                <w:szCs w:val="21"/>
              </w:rPr>
            </w:pPr>
            <w:r>
              <w:rPr>
                <w:color w:val="auto"/>
                <w:kern w:val="0"/>
                <w:sz w:val="21"/>
                <w:szCs w:val="21"/>
              </w:rPr>
              <w:t>1.380</w:t>
            </w:r>
          </w:p>
        </w:tc>
        <w:tc>
          <w:tcPr>
            <w:tcW w:w="708" w:type="dxa"/>
            <w:vAlign w:val="center"/>
          </w:tcPr>
          <w:p>
            <w:pPr>
              <w:widowControl/>
              <w:jc w:val="center"/>
              <w:rPr>
                <w:color w:val="auto"/>
                <w:kern w:val="0"/>
                <w:sz w:val="21"/>
                <w:szCs w:val="21"/>
              </w:rPr>
            </w:pPr>
            <w:r>
              <w:rPr>
                <w:rFonts w:hint="eastAsia"/>
                <w:color w:val="auto"/>
                <w:kern w:val="0"/>
                <w:sz w:val="21"/>
                <w:szCs w:val="21"/>
              </w:rPr>
              <w:t>0.</w:t>
            </w:r>
            <w:r>
              <w:rPr>
                <w:color w:val="auto"/>
                <w:kern w:val="0"/>
                <w:sz w:val="21"/>
                <w:szCs w:val="21"/>
              </w:rPr>
              <w:t>206</w:t>
            </w:r>
          </w:p>
        </w:tc>
        <w:tc>
          <w:tcPr>
            <w:tcW w:w="827" w:type="dxa"/>
            <w:vAlign w:val="center"/>
          </w:tcPr>
          <w:p>
            <w:pPr>
              <w:widowControl/>
              <w:jc w:val="center"/>
              <w:rPr>
                <w:color w:val="auto"/>
                <w:kern w:val="0"/>
                <w:sz w:val="21"/>
                <w:szCs w:val="21"/>
              </w:rPr>
            </w:pPr>
            <w:r>
              <w:rPr>
                <w:color w:val="auto"/>
                <w:kern w:val="0"/>
                <w:sz w:val="21"/>
                <w:szCs w:val="21"/>
              </w:rPr>
              <w:t>0.516</w:t>
            </w:r>
          </w:p>
        </w:tc>
        <w:tc>
          <w:tcPr>
            <w:tcW w:w="729" w:type="dxa"/>
            <w:vAlign w:val="center"/>
          </w:tcPr>
          <w:p>
            <w:pPr>
              <w:widowControl/>
              <w:jc w:val="center"/>
              <w:rPr>
                <w:color w:val="auto"/>
                <w:kern w:val="0"/>
                <w:sz w:val="21"/>
                <w:szCs w:val="21"/>
              </w:rPr>
            </w:pPr>
            <w:r>
              <w:rPr>
                <w:rFonts w:hint="eastAsia"/>
                <w:color w:val="auto"/>
                <w:kern w:val="0"/>
                <w:sz w:val="21"/>
                <w:szCs w:val="21"/>
              </w:rPr>
              <w:t>1</w:t>
            </w:r>
          </w:p>
        </w:tc>
        <w:tc>
          <w:tcPr>
            <w:tcW w:w="708" w:type="dxa"/>
            <w:vAlign w:val="center"/>
          </w:tcPr>
          <w:p>
            <w:pPr>
              <w:widowControl/>
              <w:jc w:val="center"/>
              <w:rPr>
                <w:color w:val="auto"/>
                <w:kern w:val="0"/>
                <w:sz w:val="21"/>
                <w:szCs w:val="21"/>
              </w:rPr>
            </w:pPr>
            <w:r>
              <w:rPr>
                <w:rFonts w:hint="eastAsia"/>
                <w:color w:val="auto"/>
                <w:kern w:val="0"/>
                <w:sz w:val="21"/>
                <w:szCs w:val="21"/>
              </w:rPr>
              <w:t>1</w:t>
            </w:r>
          </w:p>
        </w:tc>
        <w:tc>
          <w:tcPr>
            <w:tcW w:w="686" w:type="dxa"/>
            <w:vAlign w:val="center"/>
          </w:tcPr>
          <w:p>
            <w:pPr>
              <w:jc w:val="center"/>
              <w:textAlignment w:val="center"/>
              <w:rPr>
                <w:color w:val="auto"/>
                <w:kern w:val="0"/>
                <w:sz w:val="21"/>
                <w:szCs w:val="21"/>
                <w:lang w:bidi="ar"/>
              </w:rPr>
            </w:pPr>
            <w:r>
              <w:rPr>
                <w:rFonts w:hint="eastAsia"/>
                <w:color w:val="auto"/>
                <w:sz w:val="21"/>
                <w:szCs w:val="21"/>
              </w:rPr>
              <w:t>1</w:t>
            </w:r>
            <w:r>
              <w:rPr>
                <w:color w:val="auto"/>
                <w:sz w:val="21"/>
                <w:szCs w:val="21"/>
              </w:rPr>
              <w:t>.19</w:t>
            </w:r>
          </w:p>
        </w:tc>
        <w:tc>
          <w:tcPr>
            <w:tcW w:w="849" w:type="dxa"/>
            <w:vAlign w:val="center"/>
          </w:tcPr>
          <w:p>
            <w:pPr>
              <w:widowControl/>
              <w:jc w:val="center"/>
              <w:rPr>
                <w:rFonts w:eastAsia="等线"/>
                <w:color w:val="auto"/>
                <w:sz w:val="21"/>
                <w:szCs w:val="21"/>
              </w:rPr>
            </w:pPr>
            <w:r>
              <w:rPr>
                <w:rFonts w:eastAsia="等线"/>
                <w:color w:val="auto"/>
                <w:sz w:val="21"/>
                <w:szCs w:val="21"/>
              </w:rPr>
              <w:t>29</w:t>
            </w:r>
          </w:p>
        </w:tc>
        <w:tc>
          <w:tcPr>
            <w:tcW w:w="848" w:type="dxa"/>
            <w:vAlign w:val="center"/>
          </w:tcPr>
          <w:p>
            <w:pPr>
              <w:widowControl/>
              <w:jc w:val="center"/>
              <w:rPr>
                <w:rFonts w:eastAsia="等线"/>
                <w:color w:val="auto"/>
                <w:sz w:val="21"/>
                <w:szCs w:val="21"/>
              </w:rPr>
            </w:pPr>
            <w:r>
              <w:rPr>
                <w:rFonts w:eastAsia="等线"/>
                <w:color w:val="auto"/>
                <w:sz w:val="21"/>
                <w:szCs w:val="21"/>
              </w:rPr>
              <w:t>2410</w:t>
            </w:r>
          </w:p>
        </w:tc>
      </w:tr>
    </w:tbl>
    <w:p>
      <w:pPr>
        <w:spacing w:line="360" w:lineRule="auto"/>
        <w:contextualSpacing/>
        <w:outlineLvl w:val="2"/>
        <w:rPr>
          <w:b/>
          <w:bCs/>
          <w:color w:val="auto"/>
          <w:sz w:val="28"/>
          <w:szCs w:val="28"/>
        </w:rPr>
      </w:pPr>
      <w:r>
        <w:rPr>
          <w:b/>
          <w:bCs/>
          <w:color w:val="auto"/>
          <w:sz w:val="28"/>
          <w:szCs w:val="28"/>
        </w:rPr>
        <w:t>4.3.4水土流失预测结果</w:t>
      </w:r>
    </w:p>
    <w:p>
      <w:pPr>
        <w:spacing w:line="360" w:lineRule="auto"/>
        <w:ind w:firstLine="480" w:firstLineChars="200"/>
        <w:contextualSpacing/>
        <w:rPr>
          <w:color w:val="auto"/>
          <w:sz w:val="24"/>
        </w:rPr>
      </w:pPr>
      <w:r>
        <w:rPr>
          <w:color w:val="auto"/>
          <w:sz w:val="24"/>
        </w:rPr>
        <w:t>（1）预测方法</w:t>
      </w:r>
    </w:p>
    <w:p>
      <w:pPr>
        <w:adjustRightInd w:val="0"/>
        <w:snapToGrid w:val="0"/>
        <w:spacing w:line="360" w:lineRule="auto"/>
        <w:ind w:firstLine="480" w:firstLineChars="200"/>
        <w:contextualSpacing/>
        <w:rPr>
          <w:color w:val="auto"/>
          <w:sz w:val="24"/>
        </w:rPr>
      </w:pPr>
      <w:r>
        <w:rPr>
          <w:color w:val="auto"/>
          <w:sz w:val="24"/>
        </w:rPr>
        <w:t>本项目土壤流失量计算公式如下：</w:t>
      </w:r>
    </w:p>
    <w:p>
      <w:pPr>
        <w:adjustRightInd w:val="0"/>
        <w:snapToGrid w:val="0"/>
        <w:spacing w:after="120" w:line="360" w:lineRule="auto"/>
        <w:ind w:firstLine="420" w:firstLineChars="200"/>
        <w:contextualSpacing/>
        <w:jc w:val="center"/>
        <w:rPr>
          <w:color w:val="auto"/>
          <w:sz w:val="24"/>
        </w:rPr>
      </w:pPr>
      <w:r>
        <w:rPr>
          <w:rFonts w:eastAsia="Arial"/>
          <w:color w:val="auto"/>
          <w:kern w:val="0"/>
          <w:sz w:val="21"/>
          <w:szCs w:val="21"/>
        </w:rPr>
        <w:drawing>
          <wp:inline distT="0" distB="0" distL="0" distR="0">
            <wp:extent cx="2528570" cy="1043305"/>
            <wp:effectExtent l="0" t="0" r="508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2576129" cy="1062930"/>
                    </a:xfrm>
                    <a:prstGeom prst="rect">
                      <a:avLst/>
                    </a:prstGeom>
                  </pic:spPr>
                </pic:pic>
              </a:graphicData>
            </a:graphic>
          </wp:inline>
        </w:drawing>
      </w:r>
    </w:p>
    <w:p>
      <w:pPr>
        <w:adjustRightInd w:val="0"/>
        <w:snapToGrid w:val="0"/>
        <w:spacing w:line="360" w:lineRule="auto"/>
        <w:ind w:firstLine="480" w:firstLineChars="200"/>
        <w:contextualSpacing/>
        <w:rPr>
          <w:color w:val="auto"/>
          <w:sz w:val="24"/>
        </w:rPr>
      </w:pPr>
      <w:r>
        <w:rPr>
          <w:color w:val="auto"/>
          <w:sz w:val="24"/>
        </w:rPr>
        <w:t>式中：</w:t>
      </w:r>
    </w:p>
    <w:p>
      <w:pPr>
        <w:adjustRightInd w:val="0"/>
        <w:snapToGrid w:val="0"/>
        <w:spacing w:line="360" w:lineRule="auto"/>
        <w:ind w:firstLine="480" w:firstLineChars="200"/>
        <w:contextualSpacing/>
        <w:rPr>
          <w:color w:val="auto"/>
          <w:sz w:val="24"/>
        </w:rPr>
      </w:pPr>
      <w:r>
        <w:rPr>
          <w:color w:val="auto"/>
          <w:sz w:val="24"/>
        </w:rPr>
        <w:t>W——扰动地表流失量，t；</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w:t>
      </w:r>
      <w:r>
        <w:rPr>
          <w:color w:val="auto"/>
          <w:sz w:val="24"/>
        </w:rPr>
        <w:t>W 一扰动地表新增土壤流失量，t;</w:t>
      </w:r>
    </w:p>
    <w:p>
      <w:pPr>
        <w:adjustRightInd w:val="0"/>
        <w:snapToGrid w:val="0"/>
        <w:spacing w:line="360" w:lineRule="auto"/>
        <w:ind w:firstLine="480" w:firstLineChars="200"/>
        <w:contextualSpacing/>
        <w:rPr>
          <w:color w:val="auto"/>
          <w:sz w:val="24"/>
        </w:rPr>
      </w:pPr>
      <w:r>
        <w:rPr>
          <w:i/>
          <w:color w:val="auto"/>
          <w:sz w:val="24"/>
        </w:rPr>
        <w:t>i</w:t>
      </w:r>
      <w:r>
        <w:rPr>
          <w:color w:val="auto"/>
          <w:sz w:val="24"/>
        </w:rPr>
        <w:t xml:space="preserve">——预测单元， </w:t>
      </w:r>
      <w:r>
        <w:rPr>
          <w:i/>
          <w:iCs/>
          <w:color w:val="auto"/>
          <w:sz w:val="24"/>
        </w:rPr>
        <w:t>i</w:t>
      </w:r>
      <w:r>
        <w:rPr>
          <w:color w:val="auto"/>
          <w:sz w:val="24"/>
        </w:rPr>
        <w:t xml:space="preserve"> = 1， 2 ，3，…，（n-1），n；</w:t>
      </w:r>
    </w:p>
    <w:p>
      <w:pPr>
        <w:adjustRightInd w:val="0"/>
        <w:snapToGrid w:val="0"/>
        <w:spacing w:line="360" w:lineRule="auto"/>
        <w:ind w:firstLine="480" w:firstLineChars="200"/>
        <w:contextualSpacing/>
        <w:rPr>
          <w:color w:val="auto"/>
          <w:sz w:val="24"/>
        </w:rPr>
      </w:pPr>
      <w:r>
        <w:rPr>
          <w:i/>
          <w:iCs/>
          <w:color w:val="auto"/>
          <w:sz w:val="24"/>
        </w:rPr>
        <w:t>j</w:t>
      </w:r>
      <w:r>
        <w:rPr>
          <w:color w:val="auto"/>
          <w:sz w:val="24"/>
        </w:rPr>
        <w:t>——预测时段，</w:t>
      </w:r>
      <w:r>
        <w:rPr>
          <w:i/>
          <w:iCs/>
          <w:color w:val="auto"/>
          <w:sz w:val="24"/>
        </w:rPr>
        <w:t xml:space="preserve"> j</w:t>
      </w:r>
      <w:r>
        <w:rPr>
          <w:color w:val="auto"/>
          <w:sz w:val="24"/>
        </w:rPr>
        <w:t xml:space="preserve"> = 1， 2 ，即指施工期(含施工准备期)和自然恢复期两个时段;</w:t>
      </w:r>
    </w:p>
    <w:p>
      <w:pPr>
        <w:adjustRightInd w:val="0"/>
        <w:snapToGrid w:val="0"/>
        <w:spacing w:line="360" w:lineRule="auto"/>
        <w:ind w:firstLine="480" w:firstLineChars="200"/>
        <w:contextualSpacing/>
        <w:rPr>
          <w:color w:val="auto"/>
          <w:sz w:val="24"/>
        </w:rPr>
      </w:pPr>
      <w:r>
        <w:rPr>
          <w:i/>
          <w:color w:val="auto"/>
          <w:sz w:val="24"/>
        </w:rPr>
        <w:t>F</w:t>
      </w:r>
      <w:r>
        <w:rPr>
          <w:i/>
          <w:color w:val="auto"/>
          <w:sz w:val="24"/>
          <w:vertAlign w:val="subscript"/>
        </w:rPr>
        <w:t>ji</w:t>
      </w:r>
      <w:r>
        <w:rPr>
          <w:color w:val="auto"/>
          <w:sz w:val="24"/>
        </w:rPr>
        <w:t>——第</w:t>
      </w:r>
      <w:r>
        <w:rPr>
          <w:i/>
          <w:iCs/>
          <w:color w:val="auto"/>
          <w:sz w:val="24"/>
        </w:rPr>
        <w:t>j</w:t>
      </w:r>
      <w:r>
        <w:rPr>
          <w:color w:val="auto"/>
          <w:sz w:val="24"/>
        </w:rPr>
        <w:t>预测时段、第</w:t>
      </w:r>
      <w:r>
        <w:rPr>
          <w:i/>
          <w:iCs/>
          <w:color w:val="auto"/>
          <w:sz w:val="24"/>
        </w:rPr>
        <w:t>i</w:t>
      </w:r>
      <w:r>
        <w:rPr>
          <w:color w:val="auto"/>
          <w:sz w:val="24"/>
        </w:rPr>
        <w:t>预测单元的面积( km</w:t>
      </w:r>
      <w:r>
        <w:rPr>
          <w:color w:val="auto"/>
          <w:sz w:val="24"/>
          <w:vertAlign w:val="superscript"/>
        </w:rPr>
        <w:t>2</w:t>
      </w:r>
      <w:r>
        <w:rPr>
          <w:color w:val="auto"/>
          <w:sz w:val="24"/>
        </w:rPr>
        <w:t xml:space="preserve"> )；</w:t>
      </w:r>
    </w:p>
    <w:p>
      <w:pPr>
        <w:adjustRightInd w:val="0"/>
        <w:snapToGrid w:val="0"/>
        <w:spacing w:line="360" w:lineRule="auto"/>
        <w:ind w:firstLine="480" w:firstLineChars="200"/>
        <w:contextualSpacing/>
        <w:rPr>
          <w:color w:val="auto"/>
          <w:sz w:val="24"/>
        </w:rPr>
      </w:pPr>
      <w:r>
        <w:rPr>
          <w:i/>
          <w:color w:val="auto"/>
          <w:sz w:val="24"/>
        </w:rPr>
        <w:t>M</w:t>
      </w:r>
      <w:r>
        <w:rPr>
          <w:i/>
          <w:color w:val="auto"/>
          <w:sz w:val="24"/>
          <w:vertAlign w:val="subscript"/>
        </w:rPr>
        <w:t xml:space="preserve"> ji</w:t>
      </w:r>
      <w:r>
        <w:rPr>
          <w:color w:val="auto"/>
          <w:sz w:val="24"/>
        </w:rPr>
        <w:t>——第</w:t>
      </w:r>
      <w:r>
        <w:rPr>
          <w:i/>
          <w:iCs/>
          <w:color w:val="auto"/>
          <w:sz w:val="24"/>
        </w:rPr>
        <w:t>j</w:t>
      </w:r>
      <w:r>
        <w:rPr>
          <w:color w:val="auto"/>
          <w:sz w:val="24"/>
        </w:rPr>
        <w:t>预测时段、第</w:t>
      </w:r>
      <w:r>
        <w:rPr>
          <w:i/>
          <w:iCs/>
          <w:color w:val="auto"/>
          <w:sz w:val="24"/>
        </w:rPr>
        <w:t>i</w:t>
      </w:r>
      <w:r>
        <w:rPr>
          <w:color w:val="auto"/>
          <w:sz w:val="24"/>
        </w:rPr>
        <w:t xml:space="preserve"> 预测单元的土壤侵蚀模数[t /( km</w:t>
      </w:r>
      <w:r>
        <w:rPr>
          <w:color w:val="auto"/>
          <w:sz w:val="24"/>
          <w:vertAlign w:val="superscript"/>
        </w:rPr>
        <w:t>2</w:t>
      </w:r>
      <w:r>
        <w:rPr>
          <w:color w:val="auto"/>
          <w:sz w:val="24"/>
        </w:rPr>
        <w:t xml:space="preserve"> • a) ];</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w:t>
      </w:r>
      <w:r>
        <w:rPr>
          <w:i/>
          <w:color w:val="auto"/>
          <w:sz w:val="24"/>
        </w:rPr>
        <w:t>M</w:t>
      </w:r>
      <w:r>
        <w:rPr>
          <w:i/>
          <w:color w:val="auto"/>
          <w:sz w:val="24"/>
          <w:vertAlign w:val="subscript"/>
        </w:rPr>
        <w:t xml:space="preserve"> ji</w:t>
      </w:r>
      <w:r>
        <w:rPr>
          <w:color w:val="auto"/>
          <w:sz w:val="24"/>
        </w:rPr>
        <w:t>——某时段某单元的新增土壤侵蚀模数，t/ km·a;</w:t>
      </w:r>
    </w:p>
    <w:p>
      <w:pPr>
        <w:adjustRightInd w:val="0"/>
        <w:snapToGrid w:val="0"/>
        <w:spacing w:line="360" w:lineRule="auto"/>
        <w:ind w:firstLine="480" w:firstLineChars="200"/>
        <w:contextualSpacing/>
        <w:rPr>
          <w:color w:val="auto"/>
          <w:sz w:val="24"/>
        </w:rPr>
      </w:pPr>
      <w:r>
        <w:rPr>
          <w:i/>
          <w:color w:val="auto"/>
          <w:sz w:val="24"/>
        </w:rPr>
        <w:t xml:space="preserve">T </w:t>
      </w:r>
      <w:r>
        <w:rPr>
          <w:i/>
          <w:color w:val="auto"/>
          <w:sz w:val="24"/>
          <w:vertAlign w:val="subscript"/>
        </w:rPr>
        <w:t>ji</w:t>
      </w:r>
      <w:r>
        <w:rPr>
          <w:color w:val="auto"/>
          <w:sz w:val="24"/>
        </w:rPr>
        <w:t>——第</w:t>
      </w:r>
      <w:r>
        <w:rPr>
          <w:i/>
          <w:iCs/>
          <w:color w:val="auto"/>
          <w:sz w:val="24"/>
        </w:rPr>
        <w:t>j</w:t>
      </w:r>
      <w:r>
        <w:rPr>
          <w:color w:val="auto"/>
          <w:sz w:val="24"/>
        </w:rPr>
        <w:t xml:space="preserve"> 预测时段、第</w:t>
      </w:r>
      <w:r>
        <w:rPr>
          <w:i/>
          <w:iCs/>
          <w:color w:val="auto"/>
          <w:sz w:val="24"/>
        </w:rPr>
        <w:t>i</w:t>
      </w:r>
      <w:r>
        <w:rPr>
          <w:color w:val="auto"/>
          <w:sz w:val="24"/>
        </w:rPr>
        <w:t>预测单元的预测时段长(a) 。</w:t>
      </w:r>
    </w:p>
    <w:p>
      <w:pPr>
        <w:adjustRightInd w:val="0"/>
        <w:snapToGrid w:val="0"/>
        <w:spacing w:line="360" w:lineRule="auto"/>
        <w:ind w:firstLine="480" w:firstLineChars="200"/>
        <w:contextualSpacing/>
        <w:rPr>
          <w:color w:val="auto"/>
          <w:sz w:val="24"/>
        </w:rPr>
      </w:pPr>
      <w:r>
        <w:rPr>
          <w:rFonts w:hint="eastAsia"/>
          <w:color w:val="auto"/>
          <w:sz w:val="24"/>
        </w:rPr>
        <w:t>（2）预测结果</w:t>
      </w:r>
    </w:p>
    <w:p>
      <w:pPr>
        <w:adjustRightInd w:val="0"/>
        <w:snapToGrid w:val="0"/>
        <w:spacing w:line="360" w:lineRule="auto"/>
        <w:ind w:firstLine="480" w:firstLineChars="200"/>
        <w:contextualSpacing/>
        <w:rPr>
          <w:color w:val="auto"/>
          <w:sz w:val="24"/>
        </w:rPr>
      </w:pPr>
      <w:r>
        <w:rPr>
          <w:rFonts w:hint="eastAsia"/>
          <w:color w:val="auto"/>
          <w:sz w:val="24"/>
        </w:rPr>
        <w:t>经计算，工程建设</w:t>
      </w:r>
      <w:r>
        <w:rPr>
          <w:color w:val="auto"/>
          <w:sz w:val="24"/>
        </w:rPr>
        <w:t>可能造成的水土流失量预测表及水土流失总量和新增水土流失量汇总详见表4.3-3。</w:t>
      </w:r>
    </w:p>
    <w:p>
      <w:pPr>
        <w:tabs>
          <w:tab w:val="left" w:pos="3056"/>
        </w:tabs>
        <w:spacing w:before="1" w:after="4"/>
        <w:ind w:left="217"/>
        <w:contextualSpacing/>
        <w:jc w:val="center"/>
        <w:rPr>
          <w:b/>
          <w:color w:val="auto"/>
          <w:sz w:val="21"/>
          <w:szCs w:val="21"/>
        </w:rPr>
      </w:pPr>
      <w:r>
        <w:rPr>
          <w:b/>
          <w:color w:val="auto"/>
          <w:sz w:val="21"/>
          <w:szCs w:val="21"/>
        </w:rPr>
        <w:t>表</w:t>
      </w:r>
      <w:r>
        <w:rPr>
          <w:rFonts w:eastAsia="Times New Roman"/>
          <w:b/>
          <w:color w:val="auto"/>
          <w:sz w:val="21"/>
          <w:szCs w:val="21"/>
        </w:rPr>
        <w:t xml:space="preserve">4.3-3   </w:t>
      </w:r>
      <w:r>
        <w:rPr>
          <w:rFonts w:hint="eastAsia"/>
          <w:b/>
          <w:color w:val="auto"/>
          <w:sz w:val="21"/>
          <w:szCs w:val="21"/>
        </w:rPr>
        <w:t>水土流失量预测</w:t>
      </w:r>
      <w:r>
        <w:rPr>
          <w:b/>
          <w:color w:val="auto"/>
          <w:sz w:val="21"/>
          <w:szCs w:val="21"/>
        </w:rPr>
        <w:t>表</w:t>
      </w:r>
    </w:p>
    <w:tbl>
      <w:tblPr>
        <w:tblStyle w:val="25"/>
        <w:tblW w:w="9639" w:type="dxa"/>
        <w:jc w:val="center"/>
        <w:tblLayout w:type="autofit"/>
        <w:tblCellMar>
          <w:top w:w="0" w:type="dxa"/>
          <w:left w:w="108" w:type="dxa"/>
          <w:bottom w:w="0" w:type="dxa"/>
          <w:right w:w="108" w:type="dxa"/>
        </w:tblCellMar>
      </w:tblPr>
      <w:tblGrid>
        <w:gridCol w:w="1135"/>
        <w:gridCol w:w="804"/>
        <w:gridCol w:w="960"/>
        <w:gridCol w:w="960"/>
        <w:gridCol w:w="960"/>
        <w:gridCol w:w="960"/>
        <w:gridCol w:w="960"/>
        <w:gridCol w:w="960"/>
        <w:gridCol w:w="980"/>
        <w:gridCol w:w="960"/>
      </w:tblGrid>
      <w:tr>
        <w:tblPrEx>
          <w:tblCellMar>
            <w:top w:w="0" w:type="dxa"/>
            <w:left w:w="108" w:type="dxa"/>
            <w:bottom w:w="0" w:type="dxa"/>
            <w:right w:w="108" w:type="dxa"/>
          </w:tblCellMar>
        </w:tblPrEx>
        <w:trPr>
          <w:trHeight w:val="454" w:hRule="atLeast"/>
          <w:jc w:val="center"/>
        </w:trPr>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预测单元</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预测时段</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土壤侵蚀背景值</w:t>
            </w:r>
            <w:r>
              <w:rPr>
                <w:color w:val="auto"/>
                <w:kern w:val="0"/>
                <w:sz w:val="21"/>
                <w:szCs w:val="21"/>
              </w:rPr>
              <w:t>(t/km</w:t>
            </w:r>
            <w:r>
              <w:rPr>
                <w:color w:val="auto"/>
                <w:kern w:val="0"/>
                <w:sz w:val="21"/>
                <w:szCs w:val="21"/>
                <w:vertAlign w:val="superscript"/>
              </w:rPr>
              <w:t>2</w:t>
            </w:r>
            <w:r>
              <w:rPr>
                <w:color w:val="auto"/>
                <w:kern w:val="0"/>
                <w:sz w:val="21"/>
                <w:szCs w:val="21"/>
              </w:rPr>
              <w:t>.a)</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扰动后侵蚀模数</w:t>
            </w:r>
            <w:r>
              <w:rPr>
                <w:color w:val="auto"/>
                <w:kern w:val="0"/>
                <w:sz w:val="21"/>
                <w:szCs w:val="21"/>
              </w:rPr>
              <w:t>(t/km</w:t>
            </w:r>
            <w:r>
              <w:rPr>
                <w:color w:val="auto"/>
                <w:kern w:val="0"/>
                <w:sz w:val="21"/>
                <w:szCs w:val="21"/>
                <w:vertAlign w:val="superscript"/>
              </w:rPr>
              <w:t>2</w:t>
            </w:r>
            <w:r>
              <w:rPr>
                <w:color w:val="auto"/>
                <w:kern w:val="0"/>
                <w:sz w:val="21"/>
                <w:szCs w:val="21"/>
              </w:rPr>
              <w:t>.a)</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流失面积</w:t>
            </w:r>
            <w:r>
              <w:rPr>
                <w:color w:val="auto"/>
                <w:kern w:val="0"/>
                <w:sz w:val="21"/>
                <w:szCs w:val="21"/>
              </w:rPr>
              <w:t>(hm</w:t>
            </w:r>
            <w:r>
              <w:rPr>
                <w:color w:val="auto"/>
                <w:kern w:val="0"/>
                <w:sz w:val="21"/>
                <w:szCs w:val="21"/>
                <w:vertAlign w:val="superscript"/>
              </w:rPr>
              <w:t>2</w:t>
            </w:r>
            <w:r>
              <w:rPr>
                <w:color w:val="auto"/>
                <w:kern w:val="0"/>
                <w:sz w:val="21"/>
                <w:szCs w:val="21"/>
              </w:rPr>
              <w:t>)</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预测时段</w:t>
            </w:r>
            <w:r>
              <w:rPr>
                <w:color w:val="auto"/>
                <w:kern w:val="0"/>
                <w:sz w:val="21"/>
                <w:szCs w:val="21"/>
              </w:rPr>
              <w:t>(a)</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背景水土流失量</w:t>
            </w:r>
            <w:r>
              <w:rPr>
                <w:color w:val="auto"/>
                <w:kern w:val="0"/>
                <w:sz w:val="21"/>
                <w:szCs w:val="21"/>
              </w:rPr>
              <w:t>(t)</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水土流失总量</w:t>
            </w:r>
            <w:r>
              <w:rPr>
                <w:color w:val="auto"/>
                <w:kern w:val="0"/>
                <w:sz w:val="21"/>
                <w:szCs w:val="21"/>
              </w:rPr>
              <w:t>(t)</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新增水土流失量</w:t>
            </w:r>
            <w:r>
              <w:rPr>
                <w:color w:val="auto"/>
                <w:kern w:val="0"/>
                <w:sz w:val="21"/>
                <w:szCs w:val="21"/>
              </w:rPr>
              <w:t>(t)</w:t>
            </w: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建构筑物区</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施工期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2428</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0.82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6.56</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39.82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33.26 </w:t>
            </w: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道路地面硬化区</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施工期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2410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0.58</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4.64</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27.96</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23.32 </w:t>
            </w:r>
          </w:p>
        </w:tc>
      </w:tr>
      <w:tr>
        <w:tblPrEx>
          <w:tblCellMar>
            <w:top w:w="0" w:type="dxa"/>
            <w:left w:w="108" w:type="dxa"/>
            <w:bottom w:w="0" w:type="dxa"/>
            <w:right w:w="108" w:type="dxa"/>
          </w:tblCellMar>
        </w:tblPrEx>
        <w:trPr>
          <w:trHeight w:val="454" w:hRule="atLeast"/>
          <w:jc w:val="center"/>
        </w:trPr>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绿化区</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施工期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2410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1.6</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12.8</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77.12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64.32 </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8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自然恢复期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第一年</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1600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1.6</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6.40</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25.60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19.20 </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80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第二年</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800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1.6</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6.40</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12.80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6.40 </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80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第三年</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1.6</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6.40</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3.20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0.00 </w:t>
            </w:r>
          </w:p>
        </w:tc>
      </w:tr>
      <w:tr>
        <w:tblPrEx>
          <w:tblCellMar>
            <w:top w:w="0" w:type="dxa"/>
            <w:left w:w="108" w:type="dxa"/>
            <w:bottom w:w="0" w:type="dxa"/>
            <w:right w:w="108" w:type="dxa"/>
          </w:tblCellMar>
        </w:tblPrEx>
        <w:trPr>
          <w:trHeight w:val="454" w:hRule="atLeast"/>
          <w:jc w:val="center"/>
        </w:trPr>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工业园区管网区</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施工期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2410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1.19</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9.52</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57.36</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47.84 </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8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自然恢复期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第一年</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1600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1.19</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4.76</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19.04</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14.28 </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80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第二年</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800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1.19</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4.76</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9.52</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4.76 </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80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color w:val="auto"/>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color w:val="auto"/>
                <w:kern w:val="0"/>
                <w:sz w:val="21"/>
                <w:szCs w:val="21"/>
              </w:rPr>
            </w:pPr>
            <w:r>
              <w:rPr>
                <w:rFonts w:hint="eastAsia" w:ascii="仿宋_GB2312" w:hAnsi="等线" w:cs="宋体"/>
                <w:color w:val="auto"/>
                <w:kern w:val="0"/>
                <w:sz w:val="21"/>
                <w:szCs w:val="21"/>
              </w:rPr>
              <w:t>第三年</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200</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1.19</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1</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4.76</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2.38</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color w:val="auto"/>
                <w:kern w:val="0"/>
                <w:sz w:val="21"/>
                <w:szCs w:val="21"/>
              </w:rPr>
            </w:pPr>
            <w:r>
              <w:rPr>
                <w:rFonts w:eastAsia="等线"/>
                <w:color w:val="auto"/>
                <w:kern w:val="0"/>
                <w:sz w:val="21"/>
                <w:szCs w:val="21"/>
              </w:rPr>
              <w:t xml:space="preserve">0.00 </w:t>
            </w:r>
          </w:p>
        </w:tc>
      </w:tr>
      <w:tr>
        <w:tblPrEx>
          <w:tblCellMar>
            <w:top w:w="0" w:type="dxa"/>
            <w:left w:w="108" w:type="dxa"/>
            <w:bottom w:w="0" w:type="dxa"/>
            <w:right w:w="108" w:type="dxa"/>
          </w:tblCellMar>
        </w:tblPrEx>
        <w:trPr>
          <w:trHeight w:val="454" w:hRule="atLeast"/>
          <w:jc w:val="center"/>
        </w:trPr>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b/>
                <w:bCs/>
                <w:color w:val="auto"/>
                <w:kern w:val="0"/>
                <w:sz w:val="21"/>
                <w:szCs w:val="21"/>
              </w:rPr>
            </w:pPr>
            <w:r>
              <w:rPr>
                <w:rFonts w:hint="eastAsia" w:ascii="仿宋_GB2312" w:hAnsi="等线" w:cs="宋体"/>
                <w:b/>
                <w:bCs/>
                <w:color w:val="auto"/>
                <w:kern w:val="0"/>
                <w:sz w:val="21"/>
                <w:szCs w:val="21"/>
              </w:rPr>
              <w:t>合计</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b/>
                <w:bCs/>
                <w:color w:val="auto"/>
                <w:kern w:val="0"/>
                <w:sz w:val="21"/>
                <w:szCs w:val="21"/>
              </w:rPr>
            </w:pPr>
            <w:r>
              <w:rPr>
                <w:rFonts w:hint="eastAsia" w:ascii="仿宋_GB2312" w:hAnsi="等线" w:cs="宋体"/>
                <w:b/>
                <w:bCs/>
                <w:color w:val="auto"/>
                <w:kern w:val="0"/>
                <w:sz w:val="21"/>
                <w:szCs w:val="21"/>
              </w:rPr>
              <w:t>施工期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33.52</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202.25</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168.73</w:t>
            </w:r>
          </w:p>
        </w:tc>
      </w:tr>
      <w:tr>
        <w:tblPrEx>
          <w:tblCellMar>
            <w:top w:w="0" w:type="dxa"/>
            <w:left w:w="108" w:type="dxa"/>
            <w:bottom w:w="0" w:type="dxa"/>
            <w:right w:w="108" w:type="dxa"/>
          </w:tblCellMar>
        </w:tblPrEx>
        <w:trPr>
          <w:trHeight w:val="454" w:hRule="atLeast"/>
          <w:jc w:val="center"/>
        </w:trPr>
        <w:tc>
          <w:tcPr>
            <w:tcW w:w="113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仿宋_GB2312" w:hAnsi="等线" w:cs="宋体"/>
                <w:b/>
                <w:bCs/>
                <w:color w:val="auto"/>
                <w:kern w:val="0"/>
                <w:sz w:val="21"/>
                <w:szCs w:val="21"/>
              </w:rPr>
            </w:pP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b/>
                <w:bCs/>
                <w:color w:val="auto"/>
                <w:kern w:val="0"/>
                <w:sz w:val="21"/>
                <w:szCs w:val="21"/>
              </w:rPr>
            </w:pPr>
            <w:r>
              <w:rPr>
                <w:rFonts w:hint="eastAsia" w:ascii="仿宋_GB2312" w:hAnsi="等线" w:cs="宋体"/>
                <w:b/>
                <w:bCs/>
                <w:color w:val="auto"/>
                <w:kern w:val="0"/>
                <w:sz w:val="21"/>
                <w:szCs w:val="21"/>
              </w:rPr>
              <w:t>自然恢复期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33.48</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72.54</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44.64</w:t>
            </w: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hAnsi="等线" w:cs="宋体"/>
                <w:b/>
                <w:bCs/>
                <w:color w:val="auto"/>
                <w:kern w:val="0"/>
                <w:sz w:val="21"/>
                <w:szCs w:val="21"/>
              </w:rPr>
            </w:pPr>
            <w:r>
              <w:rPr>
                <w:rFonts w:hint="eastAsia" w:ascii="仿宋_GB2312" w:hAnsi="等线" w:cs="宋体"/>
                <w:b/>
                <w:bCs/>
                <w:color w:val="auto"/>
                <w:kern w:val="0"/>
                <w:sz w:val="21"/>
                <w:szCs w:val="21"/>
              </w:rPr>
              <w:t>总计</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　</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67.00</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274.79</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eastAsia="等线"/>
                <w:b/>
                <w:bCs/>
                <w:color w:val="auto"/>
                <w:kern w:val="0"/>
                <w:sz w:val="21"/>
                <w:szCs w:val="21"/>
              </w:rPr>
            </w:pPr>
            <w:r>
              <w:rPr>
                <w:rFonts w:eastAsia="等线"/>
                <w:b/>
                <w:bCs/>
                <w:color w:val="auto"/>
                <w:kern w:val="0"/>
                <w:sz w:val="21"/>
                <w:szCs w:val="21"/>
              </w:rPr>
              <w:t>207.79</w:t>
            </w:r>
          </w:p>
        </w:tc>
      </w:tr>
    </w:tbl>
    <w:p>
      <w:pPr>
        <w:spacing w:before="156" w:beforeLines="50" w:line="360" w:lineRule="auto"/>
        <w:ind w:firstLine="480" w:firstLineChars="200"/>
        <w:contextualSpacing/>
        <w:rPr>
          <w:b/>
          <w:color w:val="auto"/>
          <w:sz w:val="24"/>
        </w:rPr>
      </w:pPr>
      <w:r>
        <w:rPr>
          <w:rFonts w:hint="eastAsia"/>
          <w:color w:val="auto"/>
          <w:sz w:val="24"/>
        </w:rPr>
        <w:t>由表4</w:t>
      </w:r>
      <w:r>
        <w:rPr>
          <w:color w:val="auto"/>
          <w:sz w:val="24"/>
        </w:rPr>
        <w:t>.3-3</w:t>
      </w:r>
      <w:r>
        <w:rPr>
          <w:rFonts w:hint="eastAsia"/>
          <w:color w:val="auto"/>
          <w:sz w:val="24"/>
        </w:rPr>
        <w:t>可得</w:t>
      </w:r>
      <w:r>
        <w:rPr>
          <w:color w:val="auto"/>
          <w:sz w:val="24"/>
        </w:rPr>
        <w:t>，项目在施工期间，</w:t>
      </w:r>
      <w:bookmarkStart w:id="125" w:name="_Hlk78965913"/>
      <w:r>
        <w:rPr>
          <w:color w:val="auto"/>
          <w:sz w:val="24"/>
        </w:rPr>
        <w:t>可能造成的土壤流失总量为275t，背景流失量为67t，新增土壤流失量为208t。</w:t>
      </w:r>
      <w:bookmarkEnd w:id="125"/>
      <w:r>
        <w:rPr>
          <w:b/>
          <w:color w:val="auto"/>
          <w:sz w:val="24"/>
        </w:rPr>
        <w:t xml:space="preserve"> </w:t>
      </w:r>
    </w:p>
    <w:p>
      <w:pPr>
        <w:spacing w:line="360" w:lineRule="auto"/>
        <w:contextualSpacing/>
        <w:outlineLvl w:val="1"/>
        <w:rPr>
          <w:b/>
          <w:bCs/>
          <w:color w:val="auto"/>
          <w:sz w:val="30"/>
          <w:szCs w:val="30"/>
        </w:rPr>
      </w:pPr>
      <w:bookmarkStart w:id="126" w:name="_Toc486320437"/>
      <w:bookmarkStart w:id="127" w:name="_Toc145530062"/>
      <w:bookmarkStart w:id="128" w:name="_Toc521945654"/>
      <w:bookmarkStart w:id="129" w:name="_Toc522647730"/>
      <w:r>
        <w:rPr>
          <w:b/>
          <w:bCs/>
          <w:color w:val="auto"/>
          <w:sz w:val="30"/>
          <w:szCs w:val="30"/>
        </w:rPr>
        <w:t>4.4水土流失危害分析</w:t>
      </w:r>
      <w:bookmarkEnd w:id="126"/>
      <w:r>
        <w:rPr>
          <w:b/>
          <w:bCs/>
          <w:color w:val="auto"/>
          <w:sz w:val="30"/>
          <w:szCs w:val="30"/>
        </w:rPr>
        <w:t>与评价</w:t>
      </w:r>
      <w:bookmarkEnd w:id="127"/>
      <w:bookmarkEnd w:id="128"/>
      <w:bookmarkEnd w:id="129"/>
    </w:p>
    <w:p>
      <w:pPr>
        <w:spacing w:line="360" w:lineRule="auto"/>
        <w:ind w:firstLine="480" w:firstLineChars="200"/>
        <w:contextualSpacing/>
        <w:rPr>
          <w:color w:val="auto"/>
          <w:sz w:val="24"/>
        </w:rPr>
      </w:pPr>
      <w:bookmarkStart w:id="130" w:name="_Toc521945655"/>
      <w:bookmarkStart w:id="131" w:name="_Toc486320438"/>
      <w:bookmarkStart w:id="132" w:name="_Toc522647731"/>
      <w:r>
        <w:rPr>
          <w:rFonts w:hint="eastAsia"/>
          <w:color w:val="auto"/>
          <w:sz w:val="24"/>
        </w:rPr>
        <w:t>1、危害分析评价</w:t>
      </w:r>
    </w:p>
    <w:p>
      <w:pPr>
        <w:spacing w:line="360" w:lineRule="auto"/>
        <w:ind w:firstLine="480" w:firstLineChars="200"/>
        <w:contextualSpacing/>
        <w:rPr>
          <w:color w:val="auto"/>
          <w:sz w:val="24"/>
        </w:rPr>
      </w:pPr>
      <w:r>
        <w:rPr>
          <w:color w:val="auto"/>
          <w:sz w:val="24"/>
        </w:rPr>
        <w:t>本项目的建设过程中，征地范围内的地表将遭受不同程度的破坏，局部地貌将发生较大的变化，如不采取有效的水土保持防护措施进行预防、治理，当发生区域强降雨并形成较大的地表径流时，溅蚀、细沟侵蚀均可产生严重的水土流失，影响项目区周边生态环境状况。主要危害表现为以下几个方面：</w:t>
      </w:r>
    </w:p>
    <w:p>
      <w:pPr>
        <w:spacing w:line="360" w:lineRule="auto"/>
        <w:ind w:firstLine="480" w:firstLineChars="200"/>
        <w:contextualSpacing/>
        <w:rPr>
          <w:color w:val="auto"/>
          <w:sz w:val="24"/>
        </w:rPr>
      </w:pPr>
      <w:r>
        <w:rPr>
          <w:rFonts w:hint="eastAsia"/>
          <w:color w:val="auto"/>
          <w:sz w:val="24"/>
        </w:rPr>
        <w:t>（1）</w:t>
      </w:r>
      <w:r>
        <w:rPr>
          <w:color w:val="auto"/>
          <w:sz w:val="24"/>
        </w:rPr>
        <w:t>加剧水土流失</w:t>
      </w:r>
    </w:p>
    <w:p>
      <w:pPr>
        <w:spacing w:line="360" w:lineRule="auto"/>
        <w:ind w:firstLine="480" w:firstLineChars="200"/>
        <w:contextualSpacing/>
        <w:rPr>
          <w:color w:val="auto"/>
          <w:sz w:val="24"/>
        </w:rPr>
      </w:pPr>
      <w:r>
        <w:rPr>
          <w:color w:val="auto"/>
          <w:sz w:val="24"/>
        </w:rPr>
        <w:t>本工程施工扰动面较大，若不采取任何防护措施将加剧沿线水土流失。工程建设中开挖土方，易产生严重的水土流失，造成道路泥泞以及附近沟渠淤积，使其行洪排涝能力降低，同时影响工程施工，降低工效，延长工期，增加工程投资费用。</w:t>
      </w:r>
    </w:p>
    <w:p>
      <w:pPr>
        <w:spacing w:line="360" w:lineRule="auto"/>
        <w:ind w:firstLine="480" w:firstLineChars="200"/>
        <w:contextualSpacing/>
        <w:rPr>
          <w:color w:val="auto"/>
          <w:sz w:val="24"/>
        </w:rPr>
      </w:pPr>
      <w:r>
        <w:rPr>
          <w:rFonts w:hint="eastAsia"/>
          <w:color w:val="auto"/>
          <w:sz w:val="24"/>
        </w:rPr>
        <w:t>（2）</w:t>
      </w:r>
      <w:r>
        <w:rPr>
          <w:color w:val="auto"/>
          <w:sz w:val="24"/>
        </w:rPr>
        <w:t>降低土地生产力及地表拦蓄能力</w:t>
      </w:r>
    </w:p>
    <w:p>
      <w:pPr>
        <w:spacing w:line="360" w:lineRule="auto"/>
        <w:ind w:firstLine="480" w:firstLineChars="200"/>
        <w:contextualSpacing/>
        <w:rPr>
          <w:color w:val="auto"/>
          <w:sz w:val="24"/>
        </w:rPr>
      </w:pPr>
      <w:r>
        <w:rPr>
          <w:color w:val="auto"/>
          <w:sz w:val="24"/>
        </w:rPr>
        <w:t>施工共扰动原地貌面积为4.19hm</w:t>
      </w:r>
      <w:r>
        <w:rPr>
          <w:color w:val="auto"/>
          <w:sz w:val="24"/>
          <w:vertAlign w:val="superscript"/>
        </w:rPr>
        <w:t>2</w:t>
      </w:r>
      <w:r>
        <w:rPr>
          <w:color w:val="auto"/>
          <w:sz w:val="24"/>
        </w:rPr>
        <w:t>。施工活动改变了土体结构</w:t>
      </w:r>
      <w:r>
        <w:rPr>
          <w:rFonts w:hint="eastAsia"/>
          <w:color w:val="auto"/>
          <w:sz w:val="24"/>
        </w:rPr>
        <w:t>，</w:t>
      </w:r>
      <w:r>
        <w:rPr>
          <w:color w:val="auto"/>
          <w:sz w:val="24"/>
        </w:rPr>
        <w:t>地表裸露，抗蚀能力降低，一些含有丰富有机质的表层土被侵蚀，降低了土壤肥力。施工中土石方开挖、填筑、碾压、堆土等活动，造成地表板结，而地表植被的损坏使其截留降水、涵蓄水分、滞缓径流、固土拦泥的作用降低，造成水土保持功能下降。</w:t>
      </w:r>
    </w:p>
    <w:p>
      <w:pPr>
        <w:spacing w:line="360" w:lineRule="auto"/>
        <w:ind w:firstLine="480" w:firstLineChars="200"/>
        <w:contextualSpacing/>
        <w:rPr>
          <w:color w:val="auto"/>
          <w:sz w:val="24"/>
        </w:rPr>
      </w:pPr>
      <w:r>
        <w:rPr>
          <w:rFonts w:hint="eastAsia"/>
          <w:color w:val="auto"/>
          <w:sz w:val="24"/>
        </w:rPr>
        <w:t>（3）</w:t>
      </w:r>
      <w:r>
        <w:rPr>
          <w:color w:val="auto"/>
          <w:sz w:val="24"/>
        </w:rPr>
        <w:t>影响周边生态环境</w:t>
      </w:r>
    </w:p>
    <w:p>
      <w:pPr>
        <w:spacing w:line="360" w:lineRule="auto"/>
        <w:ind w:firstLine="480" w:firstLineChars="200"/>
        <w:contextualSpacing/>
        <w:rPr>
          <w:color w:val="auto"/>
          <w:sz w:val="24"/>
        </w:rPr>
      </w:pPr>
      <w:r>
        <w:rPr>
          <w:color w:val="auto"/>
          <w:sz w:val="24"/>
        </w:rPr>
        <w:t>主体工程进行土石方填挖，地表扰动强烈，自然植被覆盖率急剧下降，如不采取必要的水土保持措施，对工程的土石方挖填及外运如不进行有效的管理，将影响项目区及周边的生态环境。</w:t>
      </w:r>
    </w:p>
    <w:p>
      <w:pPr>
        <w:spacing w:line="360" w:lineRule="auto"/>
        <w:ind w:firstLine="480" w:firstLineChars="200"/>
        <w:contextualSpacing/>
        <w:rPr>
          <w:color w:val="auto"/>
          <w:sz w:val="24"/>
        </w:rPr>
      </w:pPr>
      <w:r>
        <w:rPr>
          <w:rFonts w:hint="eastAsia"/>
          <w:color w:val="auto"/>
          <w:sz w:val="24"/>
        </w:rPr>
        <w:t>2、已造成水土流失危害调查分析</w:t>
      </w:r>
    </w:p>
    <w:p>
      <w:pPr>
        <w:spacing w:line="360" w:lineRule="auto"/>
        <w:ind w:firstLine="440" w:firstLineChars="200"/>
        <w:contextualSpacing/>
        <w:rPr>
          <w:color w:val="auto"/>
          <w:sz w:val="24"/>
        </w:rPr>
      </w:pPr>
      <w:r>
        <w:rPr>
          <w:rFonts w:hint="eastAsia"/>
          <w:color w:val="auto"/>
          <w:spacing w:val="-10"/>
          <w:sz w:val="24"/>
        </w:rPr>
        <w:t>本项目建设过程中已实施了雨水管网、临时苫盖、土地整治等措施，在一定程度上减少了水土流失。根据走访调查，未发生水土流失危害事件。</w:t>
      </w:r>
    </w:p>
    <w:bookmarkEnd w:id="130"/>
    <w:bookmarkEnd w:id="131"/>
    <w:bookmarkEnd w:id="132"/>
    <w:p>
      <w:pPr>
        <w:spacing w:line="300" w:lineRule="auto"/>
        <w:contextualSpacing/>
        <w:rPr>
          <w:color w:val="auto"/>
          <w:sz w:val="24"/>
        </w:rPr>
        <w:sectPr>
          <w:footerReference r:id="rId15" w:type="default"/>
          <w:pgSz w:w="11906" w:h="16838"/>
          <w:pgMar w:top="1440" w:right="1800" w:bottom="1440" w:left="1800" w:header="851" w:footer="992" w:gutter="0"/>
          <w:cols w:space="425" w:num="1"/>
          <w:docGrid w:type="lines" w:linePitch="312" w:charSpace="0"/>
        </w:sectPr>
      </w:pPr>
    </w:p>
    <w:p>
      <w:pPr>
        <w:spacing w:line="360" w:lineRule="auto"/>
        <w:contextualSpacing/>
        <w:jc w:val="center"/>
        <w:outlineLvl w:val="0"/>
        <w:rPr>
          <w:b/>
          <w:bCs/>
          <w:color w:val="auto"/>
          <w:sz w:val="36"/>
          <w:szCs w:val="36"/>
        </w:rPr>
      </w:pPr>
      <w:bookmarkStart w:id="133" w:name="_Toc145530063"/>
      <w:r>
        <w:rPr>
          <w:b/>
          <w:bCs/>
          <w:color w:val="auto"/>
          <w:sz w:val="36"/>
          <w:szCs w:val="36"/>
        </w:rPr>
        <w:t>5 水土保持措施</w:t>
      </w:r>
      <w:bookmarkEnd w:id="104"/>
      <w:bookmarkEnd w:id="105"/>
      <w:bookmarkEnd w:id="106"/>
      <w:bookmarkEnd w:id="133"/>
    </w:p>
    <w:p>
      <w:pPr>
        <w:spacing w:line="360" w:lineRule="auto"/>
        <w:contextualSpacing/>
        <w:outlineLvl w:val="1"/>
        <w:rPr>
          <w:b/>
          <w:bCs/>
          <w:color w:val="auto"/>
          <w:sz w:val="30"/>
          <w:szCs w:val="30"/>
        </w:rPr>
      </w:pPr>
      <w:bookmarkStart w:id="134" w:name="_Toc486320432"/>
      <w:bookmarkStart w:id="135" w:name="_Toc320623074"/>
      <w:bookmarkStart w:id="136" w:name="_Toc320625835"/>
      <w:bookmarkStart w:id="137" w:name="_Toc521945643"/>
      <w:bookmarkStart w:id="138" w:name="_Toc522647725"/>
      <w:bookmarkStart w:id="139" w:name="_Toc145530064"/>
      <w:r>
        <w:rPr>
          <w:b/>
          <w:bCs/>
          <w:color w:val="auto"/>
          <w:sz w:val="30"/>
          <w:szCs w:val="30"/>
        </w:rPr>
        <w:t>5.1防治区</w:t>
      </w:r>
      <w:bookmarkEnd w:id="134"/>
      <w:bookmarkEnd w:id="135"/>
      <w:bookmarkEnd w:id="136"/>
      <w:bookmarkEnd w:id="137"/>
      <w:bookmarkEnd w:id="138"/>
      <w:r>
        <w:rPr>
          <w:b/>
          <w:bCs/>
          <w:color w:val="auto"/>
          <w:sz w:val="30"/>
          <w:szCs w:val="30"/>
        </w:rPr>
        <w:t>划分</w:t>
      </w:r>
      <w:bookmarkEnd w:id="139"/>
    </w:p>
    <w:p>
      <w:pPr>
        <w:spacing w:line="360" w:lineRule="auto"/>
        <w:ind w:firstLine="480" w:firstLineChars="200"/>
        <w:contextualSpacing/>
        <w:rPr>
          <w:color w:val="auto"/>
          <w:sz w:val="24"/>
        </w:rPr>
      </w:pPr>
      <w:r>
        <w:rPr>
          <w:color w:val="auto"/>
          <w:sz w:val="24"/>
        </w:rPr>
        <w:t>根据项目特点、工程布局以及占地性质和扰动特点，将项目建设区划分为3个防治分区，包括建构筑物防治区、</w:t>
      </w:r>
      <w:r>
        <w:rPr>
          <w:rFonts w:hint="eastAsia"/>
          <w:color w:val="auto"/>
          <w:sz w:val="24"/>
        </w:rPr>
        <w:t>道路地面硬化防治区、绿化防治区、工业园区管网防治区及施工生产防治区</w:t>
      </w:r>
      <w:r>
        <w:rPr>
          <w:color w:val="auto"/>
          <w:sz w:val="24"/>
        </w:rPr>
        <w:t>。本项目水土流失防治分区见表5.1-1。</w:t>
      </w:r>
    </w:p>
    <w:p>
      <w:pPr>
        <w:pStyle w:val="11"/>
        <w:adjustRightInd w:val="0"/>
        <w:snapToGrid w:val="0"/>
        <w:spacing w:after="0" w:line="300" w:lineRule="auto"/>
        <w:contextualSpacing/>
        <w:jc w:val="center"/>
        <w:rPr>
          <w:b/>
          <w:color w:val="auto"/>
          <w:sz w:val="21"/>
          <w:szCs w:val="21"/>
        </w:rPr>
      </w:pPr>
      <w:r>
        <w:rPr>
          <w:b/>
          <w:color w:val="auto"/>
          <w:sz w:val="21"/>
          <w:szCs w:val="21"/>
        </w:rPr>
        <w:t xml:space="preserve">表5.1-1   水土流失防治分区表    </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1899"/>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573" w:type="pct"/>
            <w:shd w:val="clear" w:color="auto" w:fill="auto"/>
            <w:noWrap/>
            <w:vAlign w:val="center"/>
          </w:tcPr>
          <w:p>
            <w:pPr>
              <w:widowControl/>
              <w:contextualSpacing/>
              <w:jc w:val="center"/>
              <w:rPr>
                <w:color w:val="auto"/>
                <w:kern w:val="0"/>
                <w:sz w:val="21"/>
                <w:szCs w:val="21"/>
              </w:rPr>
            </w:pPr>
            <w:bookmarkStart w:id="140" w:name="_Toc388559878"/>
            <w:bookmarkStart w:id="141" w:name="_Toc522647734"/>
            <w:bookmarkStart w:id="142" w:name="_Toc486320441"/>
            <w:bookmarkStart w:id="143" w:name="_Toc521945660"/>
            <w:bookmarkStart w:id="144" w:name="_Toc170548472"/>
            <w:r>
              <w:rPr>
                <w:color w:val="auto"/>
                <w:kern w:val="0"/>
                <w:sz w:val="21"/>
                <w:szCs w:val="21"/>
              </w:rPr>
              <w:t>区域名称</w:t>
            </w:r>
          </w:p>
        </w:tc>
        <w:tc>
          <w:tcPr>
            <w:tcW w:w="1269" w:type="pct"/>
            <w:shd w:val="clear" w:color="auto" w:fill="auto"/>
            <w:vAlign w:val="center"/>
          </w:tcPr>
          <w:p>
            <w:pPr>
              <w:widowControl/>
              <w:contextualSpacing/>
              <w:jc w:val="center"/>
              <w:rPr>
                <w:color w:val="auto"/>
                <w:kern w:val="0"/>
                <w:sz w:val="21"/>
                <w:szCs w:val="21"/>
              </w:rPr>
            </w:pPr>
            <w:r>
              <w:rPr>
                <w:color w:val="auto"/>
                <w:kern w:val="0"/>
                <w:sz w:val="21"/>
                <w:szCs w:val="21"/>
              </w:rPr>
              <w:t>防治责任范围（hm</w:t>
            </w:r>
            <w:r>
              <w:rPr>
                <w:color w:val="auto"/>
                <w:kern w:val="0"/>
                <w:sz w:val="21"/>
                <w:szCs w:val="21"/>
                <w:vertAlign w:val="superscript"/>
              </w:rPr>
              <w:t>2</w:t>
            </w:r>
            <w:r>
              <w:rPr>
                <w:color w:val="auto"/>
                <w:kern w:val="0"/>
                <w:sz w:val="21"/>
                <w:szCs w:val="21"/>
              </w:rPr>
              <w:t>）</w:t>
            </w:r>
          </w:p>
        </w:tc>
        <w:tc>
          <w:tcPr>
            <w:tcW w:w="2158"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73" w:type="pct"/>
            <w:shd w:val="clear" w:color="auto" w:fill="auto"/>
            <w:noWrap/>
            <w:vAlign w:val="center"/>
          </w:tcPr>
          <w:p>
            <w:pPr>
              <w:widowControl/>
              <w:contextualSpacing/>
              <w:jc w:val="center"/>
              <w:rPr>
                <w:color w:val="auto"/>
                <w:kern w:val="0"/>
                <w:sz w:val="21"/>
                <w:szCs w:val="21"/>
              </w:rPr>
            </w:pPr>
            <w:r>
              <w:rPr>
                <w:color w:val="auto"/>
                <w:kern w:val="0"/>
                <w:sz w:val="21"/>
                <w:szCs w:val="21"/>
              </w:rPr>
              <w:t>建构筑物</w:t>
            </w:r>
            <w:r>
              <w:rPr>
                <w:color w:val="auto"/>
                <w:sz w:val="21"/>
                <w:szCs w:val="21"/>
              </w:rPr>
              <w:t>防治</w:t>
            </w:r>
            <w:r>
              <w:rPr>
                <w:color w:val="auto"/>
                <w:kern w:val="0"/>
                <w:sz w:val="21"/>
                <w:szCs w:val="21"/>
              </w:rPr>
              <w:t>区</w:t>
            </w:r>
          </w:p>
        </w:tc>
        <w:tc>
          <w:tcPr>
            <w:tcW w:w="1269" w:type="pct"/>
            <w:noWrap/>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.82</w:t>
            </w:r>
          </w:p>
        </w:tc>
        <w:tc>
          <w:tcPr>
            <w:tcW w:w="2158" w:type="pct"/>
            <w:shd w:val="clear" w:color="auto" w:fill="auto"/>
            <w:noWrap/>
            <w:vAlign w:val="center"/>
          </w:tcPr>
          <w:p>
            <w:pPr>
              <w:widowControl/>
              <w:contextualSpacing/>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73" w:type="pct"/>
            <w:shd w:val="clear" w:color="auto" w:fill="auto"/>
            <w:vAlign w:val="center"/>
          </w:tcPr>
          <w:p>
            <w:pPr>
              <w:widowControl/>
              <w:contextualSpacing/>
              <w:jc w:val="center"/>
              <w:rPr>
                <w:color w:val="auto"/>
                <w:kern w:val="0"/>
                <w:sz w:val="21"/>
                <w:szCs w:val="21"/>
              </w:rPr>
            </w:pPr>
            <w:r>
              <w:rPr>
                <w:color w:val="auto"/>
                <w:kern w:val="0"/>
                <w:sz w:val="21"/>
                <w:szCs w:val="21"/>
              </w:rPr>
              <w:t>道路</w:t>
            </w:r>
            <w:r>
              <w:rPr>
                <w:rFonts w:hint="eastAsia"/>
                <w:color w:val="auto"/>
                <w:kern w:val="0"/>
                <w:sz w:val="21"/>
                <w:szCs w:val="21"/>
              </w:rPr>
              <w:t>地面</w:t>
            </w:r>
            <w:r>
              <w:rPr>
                <w:color w:val="auto"/>
                <w:kern w:val="0"/>
                <w:sz w:val="21"/>
                <w:szCs w:val="21"/>
              </w:rPr>
              <w:t>硬化</w:t>
            </w:r>
            <w:r>
              <w:rPr>
                <w:color w:val="auto"/>
                <w:sz w:val="21"/>
                <w:szCs w:val="21"/>
              </w:rPr>
              <w:t>防治</w:t>
            </w:r>
            <w:r>
              <w:rPr>
                <w:color w:val="auto"/>
                <w:kern w:val="0"/>
                <w:sz w:val="21"/>
                <w:szCs w:val="21"/>
              </w:rPr>
              <w:t>区</w:t>
            </w:r>
          </w:p>
        </w:tc>
        <w:tc>
          <w:tcPr>
            <w:tcW w:w="1269" w:type="pct"/>
            <w:noWrap/>
            <w:vAlign w:val="center"/>
          </w:tcPr>
          <w:p>
            <w:pPr>
              <w:widowControl/>
              <w:contextualSpacing/>
              <w:jc w:val="center"/>
              <w:textAlignment w:val="center"/>
              <w:rPr>
                <w:bCs/>
                <w:color w:val="auto"/>
                <w:sz w:val="21"/>
                <w:szCs w:val="21"/>
              </w:rPr>
            </w:pPr>
            <w:r>
              <w:rPr>
                <w:rFonts w:hint="eastAsia"/>
                <w:bCs/>
                <w:color w:val="auto"/>
                <w:sz w:val="21"/>
                <w:szCs w:val="21"/>
              </w:rPr>
              <w:t>0</w:t>
            </w:r>
            <w:r>
              <w:rPr>
                <w:bCs/>
                <w:color w:val="auto"/>
                <w:sz w:val="21"/>
                <w:szCs w:val="21"/>
              </w:rPr>
              <w:t>.58</w:t>
            </w:r>
          </w:p>
        </w:tc>
        <w:tc>
          <w:tcPr>
            <w:tcW w:w="2158" w:type="pct"/>
            <w:shd w:val="clear" w:color="auto" w:fill="auto"/>
            <w:noWrap/>
            <w:vAlign w:val="center"/>
          </w:tcPr>
          <w:p>
            <w:pPr>
              <w:widowControl/>
              <w:contextualSpacing/>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73"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绿化防治区</w:t>
            </w:r>
          </w:p>
        </w:tc>
        <w:tc>
          <w:tcPr>
            <w:tcW w:w="1269" w:type="pct"/>
            <w:noWrap/>
            <w:vAlign w:val="center"/>
          </w:tcPr>
          <w:p>
            <w:pPr>
              <w:widowControl/>
              <w:contextualSpacing/>
              <w:jc w:val="center"/>
              <w:textAlignment w:val="center"/>
              <w:rPr>
                <w:color w:val="auto"/>
                <w:sz w:val="22"/>
                <w:szCs w:val="22"/>
              </w:rPr>
            </w:pPr>
            <w:r>
              <w:rPr>
                <w:rFonts w:hint="eastAsia"/>
                <w:color w:val="auto"/>
                <w:sz w:val="21"/>
                <w:szCs w:val="21"/>
              </w:rPr>
              <w:t>1</w:t>
            </w:r>
            <w:r>
              <w:rPr>
                <w:color w:val="auto"/>
                <w:sz w:val="21"/>
                <w:szCs w:val="21"/>
              </w:rPr>
              <w:t>.60</w:t>
            </w:r>
          </w:p>
        </w:tc>
        <w:tc>
          <w:tcPr>
            <w:tcW w:w="2158" w:type="pct"/>
            <w:shd w:val="clear" w:color="auto" w:fill="auto"/>
            <w:noWrap/>
            <w:vAlign w:val="center"/>
          </w:tcPr>
          <w:p>
            <w:pPr>
              <w:widowControl/>
              <w:contextualSpacing/>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73"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工业园区管网防治区</w:t>
            </w:r>
          </w:p>
        </w:tc>
        <w:tc>
          <w:tcPr>
            <w:tcW w:w="1269" w:type="pct"/>
            <w:noWrap/>
            <w:vAlign w:val="center"/>
          </w:tcPr>
          <w:p>
            <w:pPr>
              <w:widowControl/>
              <w:contextualSpacing/>
              <w:jc w:val="center"/>
              <w:textAlignment w:val="center"/>
              <w:rPr>
                <w:color w:val="auto"/>
                <w:sz w:val="22"/>
                <w:szCs w:val="22"/>
              </w:rPr>
            </w:pPr>
            <w:r>
              <w:rPr>
                <w:rFonts w:hint="eastAsia"/>
                <w:color w:val="auto"/>
                <w:sz w:val="21"/>
                <w:szCs w:val="21"/>
              </w:rPr>
              <w:t>1</w:t>
            </w:r>
            <w:r>
              <w:rPr>
                <w:color w:val="auto"/>
                <w:sz w:val="21"/>
                <w:szCs w:val="21"/>
              </w:rPr>
              <w:t>.19</w:t>
            </w:r>
          </w:p>
        </w:tc>
        <w:tc>
          <w:tcPr>
            <w:tcW w:w="2158" w:type="pct"/>
            <w:shd w:val="clear" w:color="auto" w:fill="auto"/>
            <w:noWrap/>
            <w:vAlign w:val="center"/>
          </w:tcPr>
          <w:p>
            <w:pPr>
              <w:widowControl/>
              <w:contextualSpacing/>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73"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施工生产防治区</w:t>
            </w:r>
          </w:p>
        </w:tc>
        <w:tc>
          <w:tcPr>
            <w:tcW w:w="1269" w:type="pct"/>
            <w:noWrap/>
            <w:vAlign w:val="center"/>
          </w:tcPr>
          <w:p>
            <w:pPr>
              <w:widowControl/>
              <w:contextualSpacing/>
              <w:jc w:val="center"/>
              <w:textAlignment w:val="center"/>
              <w:rPr>
                <w:color w:val="auto"/>
                <w:sz w:val="22"/>
                <w:szCs w:val="22"/>
              </w:rPr>
            </w:pPr>
            <w:r>
              <w:rPr>
                <w:rFonts w:hint="eastAsia"/>
                <w:color w:val="auto"/>
                <w:sz w:val="22"/>
                <w:szCs w:val="22"/>
              </w:rPr>
              <w:t>（0</w:t>
            </w:r>
            <w:r>
              <w:rPr>
                <w:color w:val="auto"/>
                <w:sz w:val="22"/>
                <w:szCs w:val="22"/>
              </w:rPr>
              <w:t>.10</w:t>
            </w:r>
            <w:r>
              <w:rPr>
                <w:rFonts w:hint="eastAsia"/>
                <w:color w:val="auto"/>
                <w:sz w:val="22"/>
                <w:szCs w:val="22"/>
              </w:rPr>
              <w:t>）</w:t>
            </w:r>
          </w:p>
        </w:tc>
        <w:tc>
          <w:tcPr>
            <w:tcW w:w="2158" w:type="pct"/>
            <w:shd w:val="clear" w:color="auto" w:fill="auto"/>
            <w:noWrap/>
            <w:vAlign w:val="center"/>
          </w:tcPr>
          <w:p>
            <w:pPr>
              <w:widowControl/>
              <w:contextualSpacing/>
              <w:jc w:val="center"/>
              <w:rPr>
                <w:color w:val="auto"/>
                <w:kern w:val="0"/>
                <w:sz w:val="21"/>
                <w:szCs w:val="21"/>
              </w:rPr>
            </w:pPr>
            <w:r>
              <w:rPr>
                <w:rFonts w:hint="eastAsia"/>
                <w:color w:val="auto"/>
                <w:kern w:val="0"/>
                <w:sz w:val="21"/>
                <w:szCs w:val="21"/>
              </w:rPr>
              <w:t>占用道路地面硬化区及绿化区，属重复占地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73" w:type="pct"/>
            <w:shd w:val="clear" w:color="auto" w:fill="auto"/>
            <w:noWrap/>
            <w:vAlign w:val="center"/>
          </w:tcPr>
          <w:p>
            <w:pPr>
              <w:widowControl/>
              <w:contextualSpacing/>
              <w:jc w:val="center"/>
              <w:rPr>
                <w:b/>
                <w:bCs/>
                <w:color w:val="auto"/>
                <w:kern w:val="0"/>
                <w:sz w:val="21"/>
                <w:szCs w:val="21"/>
              </w:rPr>
            </w:pPr>
            <w:r>
              <w:rPr>
                <w:b/>
                <w:bCs/>
                <w:color w:val="auto"/>
                <w:kern w:val="0"/>
                <w:sz w:val="21"/>
                <w:szCs w:val="21"/>
              </w:rPr>
              <w:t>合计</w:t>
            </w:r>
          </w:p>
        </w:tc>
        <w:tc>
          <w:tcPr>
            <w:tcW w:w="1269" w:type="pct"/>
            <w:noWrap/>
            <w:vAlign w:val="center"/>
          </w:tcPr>
          <w:p>
            <w:pPr>
              <w:widowControl/>
              <w:contextualSpacing/>
              <w:jc w:val="center"/>
              <w:textAlignment w:val="center"/>
              <w:rPr>
                <w:b/>
                <w:bCs/>
                <w:color w:val="auto"/>
                <w:sz w:val="21"/>
                <w:szCs w:val="21"/>
              </w:rPr>
            </w:pPr>
            <w:r>
              <w:rPr>
                <w:b/>
                <w:bCs/>
                <w:color w:val="auto"/>
                <w:sz w:val="21"/>
                <w:szCs w:val="21"/>
              </w:rPr>
              <w:t>4.19</w:t>
            </w:r>
          </w:p>
        </w:tc>
        <w:tc>
          <w:tcPr>
            <w:tcW w:w="2158" w:type="pct"/>
            <w:shd w:val="clear" w:color="auto" w:fill="auto"/>
            <w:noWrap/>
            <w:vAlign w:val="center"/>
          </w:tcPr>
          <w:p>
            <w:pPr>
              <w:widowControl/>
              <w:contextualSpacing/>
              <w:jc w:val="center"/>
              <w:rPr>
                <w:color w:val="auto"/>
                <w:kern w:val="0"/>
                <w:sz w:val="21"/>
                <w:szCs w:val="21"/>
              </w:rPr>
            </w:pPr>
          </w:p>
        </w:tc>
      </w:tr>
    </w:tbl>
    <w:p>
      <w:pPr>
        <w:spacing w:line="360" w:lineRule="auto"/>
        <w:contextualSpacing/>
        <w:outlineLvl w:val="1"/>
        <w:rPr>
          <w:b/>
          <w:bCs/>
          <w:color w:val="auto"/>
          <w:sz w:val="30"/>
          <w:szCs w:val="30"/>
        </w:rPr>
      </w:pPr>
      <w:bookmarkStart w:id="145" w:name="_Toc145530065"/>
      <w:r>
        <w:rPr>
          <w:b/>
          <w:bCs/>
          <w:color w:val="auto"/>
          <w:sz w:val="30"/>
          <w:szCs w:val="30"/>
        </w:rPr>
        <w:t>5.2</w:t>
      </w:r>
      <w:bookmarkEnd w:id="140"/>
      <w:bookmarkEnd w:id="141"/>
      <w:bookmarkEnd w:id="142"/>
      <w:bookmarkEnd w:id="143"/>
      <w:bookmarkEnd w:id="144"/>
      <w:r>
        <w:rPr>
          <w:b/>
          <w:bCs/>
          <w:color w:val="auto"/>
          <w:sz w:val="30"/>
          <w:szCs w:val="30"/>
        </w:rPr>
        <w:t>措施总体布局</w:t>
      </w:r>
      <w:bookmarkEnd w:id="145"/>
    </w:p>
    <w:p>
      <w:pPr>
        <w:spacing w:line="360" w:lineRule="auto"/>
        <w:contextualSpacing/>
        <w:outlineLvl w:val="2"/>
        <w:rPr>
          <w:b/>
          <w:bCs/>
          <w:color w:val="auto"/>
          <w:sz w:val="28"/>
          <w:szCs w:val="28"/>
        </w:rPr>
      </w:pPr>
      <w:bookmarkStart w:id="146" w:name="_Toc521945661"/>
      <w:r>
        <w:rPr>
          <w:b/>
          <w:bCs/>
          <w:color w:val="auto"/>
          <w:sz w:val="28"/>
          <w:szCs w:val="28"/>
        </w:rPr>
        <w:t>5.2.1措施布局原则</w:t>
      </w:r>
    </w:p>
    <w:p>
      <w:pPr>
        <w:pStyle w:val="90"/>
        <w:ind w:firstLine="480"/>
        <w:contextualSpacing/>
        <w:rPr>
          <w:color w:val="auto"/>
          <w:sz w:val="24"/>
          <w:szCs w:val="24"/>
        </w:rPr>
      </w:pPr>
      <w:r>
        <w:rPr>
          <w:color w:val="auto"/>
          <w:sz w:val="24"/>
          <w:szCs w:val="24"/>
        </w:rPr>
        <w:t>本项目水土保持建设以防治新增水土流失为目标，保护生产、生态用地为出发点，促进经济与环境的协调发展。在遵守水土保持法律法规、水土保持技术标准以及环境保护总体要求原则的同时，针对项目特点确定措施的布设原则如下：</w:t>
      </w:r>
    </w:p>
    <w:p>
      <w:pPr>
        <w:pStyle w:val="90"/>
        <w:ind w:firstLine="480"/>
        <w:contextualSpacing/>
        <w:rPr>
          <w:color w:val="auto"/>
          <w:sz w:val="24"/>
          <w:szCs w:val="24"/>
        </w:rPr>
      </w:pPr>
      <w:r>
        <w:rPr>
          <w:color w:val="auto"/>
          <w:sz w:val="24"/>
          <w:szCs w:val="24"/>
        </w:rPr>
        <w:t>（1）结合工程实际和项目区水土流失现状，因地制宜，因害设防、防治结合、全面布局、科学配置；</w:t>
      </w:r>
    </w:p>
    <w:p>
      <w:pPr>
        <w:pStyle w:val="90"/>
        <w:ind w:firstLine="480"/>
        <w:contextualSpacing/>
        <w:rPr>
          <w:color w:val="auto"/>
          <w:sz w:val="24"/>
          <w:szCs w:val="24"/>
        </w:rPr>
      </w:pPr>
      <w:r>
        <w:rPr>
          <w:color w:val="auto"/>
          <w:sz w:val="24"/>
          <w:szCs w:val="24"/>
        </w:rPr>
        <w:t>（2）减少对地表和植被的破坏；</w:t>
      </w:r>
    </w:p>
    <w:p>
      <w:pPr>
        <w:pStyle w:val="90"/>
        <w:ind w:firstLine="480"/>
        <w:contextualSpacing/>
        <w:rPr>
          <w:color w:val="auto"/>
          <w:sz w:val="24"/>
          <w:szCs w:val="24"/>
        </w:rPr>
      </w:pPr>
      <w:r>
        <w:rPr>
          <w:color w:val="auto"/>
          <w:sz w:val="24"/>
          <w:szCs w:val="24"/>
        </w:rPr>
        <w:t>（3）项目建设过程中应注重生态环境的保护，设置临时性防护措施，减少施工过程中造成的人为扰动；</w:t>
      </w:r>
    </w:p>
    <w:p>
      <w:pPr>
        <w:pStyle w:val="90"/>
        <w:ind w:firstLine="480"/>
        <w:contextualSpacing/>
        <w:rPr>
          <w:color w:val="auto"/>
          <w:sz w:val="24"/>
          <w:szCs w:val="24"/>
        </w:rPr>
      </w:pPr>
      <w:r>
        <w:rPr>
          <w:color w:val="auto"/>
          <w:sz w:val="24"/>
          <w:szCs w:val="24"/>
        </w:rPr>
        <w:t>（4）注重吸收当地水土保持的成功经验；</w:t>
      </w:r>
    </w:p>
    <w:p>
      <w:pPr>
        <w:pStyle w:val="90"/>
        <w:ind w:firstLine="480"/>
        <w:contextualSpacing/>
        <w:rPr>
          <w:color w:val="auto"/>
          <w:sz w:val="24"/>
          <w:szCs w:val="24"/>
        </w:rPr>
      </w:pPr>
      <w:r>
        <w:rPr>
          <w:color w:val="auto"/>
          <w:sz w:val="24"/>
          <w:szCs w:val="24"/>
        </w:rPr>
        <w:t>（5）树立人与自然和谐共处的理念，尊重自然规律，注重与周边景观相协调；</w:t>
      </w:r>
    </w:p>
    <w:p>
      <w:pPr>
        <w:pStyle w:val="90"/>
        <w:ind w:firstLine="480"/>
        <w:contextualSpacing/>
        <w:rPr>
          <w:color w:val="auto"/>
          <w:sz w:val="24"/>
          <w:szCs w:val="24"/>
        </w:rPr>
      </w:pPr>
      <w:r>
        <w:rPr>
          <w:color w:val="auto"/>
          <w:sz w:val="24"/>
          <w:szCs w:val="24"/>
        </w:rPr>
        <w:t>（6）工程措施、临时措施合理配置、统筹兼顾，形成综合的防护体系；</w:t>
      </w:r>
    </w:p>
    <w:p>
      <w:pPr>
        <w:pStyle w:val="90"/>
        <w:ind w:firstLine="480"/>
        <w:contextualSpacing/>
        <w:rPr>
          <w:color w:val="auto"/>
          <w:sz w:val="24"/>
          <w:szCs w:val="24"/>
        </w:rPr>
      </w:pPr>
      <w:r>
        <w:rPr>
          <w:color w:val="auto"/>
          <w:sz w:val="24"/>
          <w:szCs w:val="24"/>
        </w:rPr>
        <w:t>（7）工程措施要尽量选用当地材料，做到技术上可靠、经济上合理；</w:t>
      </w:r>
    </w:p>
    <w:p>
      <w:pPr>
        <w:pStyle w:val="90"/>
        <w:ind w:firstLine="480"/>
        <w:contextualSpacing/>
        <w:rPr>
          <w:color w:val="auto"/>
          <w:sz w:val="24"/>
          <w:szCs w:val="24"/>
        </w:rPr>
      </w:pPr>
      <w:r>
        <w:rPr>
          <w:color w:val="auto"/>
          <w:sz w:val="24"/>
          <w:szCs w:val="24"/>
        </w:rPr>
        <w:t>（8）防治措施布设要与主体工程密切配合，相互协调，形成整体。</w:t>
      </w:r>
    </w:p>
    <w:p>
      <w:pPr>
        <w:spacing w:line="360" w:lineRule="auto"/>
        <w:contextualSpacing/>
        <w:outlineLvl w:val="2"/>
        <w:rPr>
          <w:b/>
          <w:bCs/>
          <w:color w:val="auto"/>
          <w:sz w:val="28"/>
          <w:szCs w:val="28"/>
        </w:rPr>
      </w:pPr>
      <w:r>
        <w:rPr>
          <w:b/>
          <w:bCs/>
          <w:color w:val="auto"/>
          <w:sz w:val="28"/>
          <w:szCs w:val="28"/>
        </w:rPr>
        <w:t>5.2.2</w:t>
      </w:r>
      <w:r>
        <w:rPr>
          <w:rFonts w:hint="eastAsia"/>
          <w:b/>
          <w:bCs/>
          <w:color w:val="auto"/>
          <w:sz w:val="28"/>
          <w:szCs w:val="28"/>
        </w:rPr>
        <w:t>水土保持工程级别及设计标准</w:t>
      </w:r>
    </w:p>
    <w:p>
      <w:pPr>
        <w:pStyle w:val="90"/>
        <w:ind w:firstLine="480"/>
        <w:contextualSpacing/>
        <w:rPr>
          <w:rFonts w:hint="eastAsia"/>
          <w:color w:val="auto"/>
          <w:sz w:val="24"/>
          <w:szCs w:val="24"/>
        </w:rPr>
      </w:pPr>
      <w:r>
        <w:rPr>
          <w:rFonts w:hint="eastAsia"/>
          <w:color w:val="auto"/>
          <w:sz w:val="24"/>
          <w:szCs w:val="24"/>
        </w:rPr>
        <w:t>1、工程级别</w:t>
      </w:r>
    </w:p>
    <w:p>
      <w:pPr>
        <w:pStyle w:val="90"/>
        <w:ind w:firstLine="480"/>
        <w:contextualSpacing/>
        <w:rPr>
          <w:color w:val="auto"/>
          <w:sz w:val="24"/>
          <w:szCs w:val="24"/>
        </w:rPr>
      </w:pPr>
      <w:r>
        <w:rPr>
          <w:rFonts w:hint="eastAsia"/>
          <w:color w:val="auto"/>
          <w:sz w:val="24"/>
          <w:szCs w:val="24"/>
        </w:rPr>
        <w:t>根据《水土保持工程设计规范》（GB51018-2014），植被恢复与建设工程级别应根据建筑工程主要建筑物级别及绿化工程所处位置等规定进行确定。绿化工程区的植被绿化建设工程级别为1级。本方案水土保持措施设计截排水沟标准为：5年一遇24小时最大降雨量。</w:t>
      </w:r>
    </w:p>
    <w:p>
      <w:pPr>
        <w:pStyle w:val="90"/>
        <w:ind w:firstLine="480"/>
        <w:contextualSpacing/>
        <w:rPr>
          <w:color w:val="auto"/>
          <w:sz w:val="24"/>
          <w:szCs w:val="24"/>
        </w:rPr>
      </w:pPr>
      <w:r>
        <w:rPr>
          <w:rFonts w:hint="eastAsia"/>
          <w:color w:val="auto"/>
          <w:sz w:val="24"/>
          <w:szCs w:val="24"/>
        </w:rPr>
        <w:t>2、设计标准</w:t>
      </w:r>
    </w:p>
    <w:p>
      <w:pPr>
        <w:pStyle w:val="90"/>
        <w:ind w:firstLine="480"/>
        <w:contextualSpacing/>
        <w:rPr>
          <w:color w:val="auto"/>
          <w:sz w:val="24"/>
          <w:szCs w:val="24"/>
        </w:rPr>
      </w:pPr>
      <w:r>
        <w:rPr>
          <w:rFonts w:hint="eastAsia"/>
          <w:color w:val="auto"/>
          <w:sz w:val="24"/>
          <w:szCs w:val="24"/>
        </w:rPr>
        <w:t>本项目位于国家级水土流失重点治理区且无法避让，主体设计植被建设工程采用1级标准，在满足保持水土的前提下，采用景观绿化，满足景观、游憩、环境保护和生态防护等多种功能的要求；厂区排水设计标准为5年一遇24小时最大降雨量。</w:t>
      </w:r>
    </w:p>
    <w:p>
      <w:pPr>
        <w:spacing w:line="360" w:lineRule="auto"/>
        <w:contextualSpacing/>
        <w:outlineLvl w:val="2"/>
        <w:rPr>
          <w:b/>
          <w:bCs/>
          <w:color w:val="auto"/>
          <w:sz w:val="28"/>
          <w:szCs w:val="28"/>
        </w:rPr>
      </w:pPr>
      <w:r>
        <w:rPr>
          <w:b/>
          <w:bCs/>
          <w:color w:val="auto"/>
          <w:sz w:val="28"/>
          <w:szCs w:val="28"/>
        </w:rPr>
        <w:t>5.2.3防治措施总体布局</w:t>
      </w:r>
      <w:bookmarkEnd w:id="146"/>
    </w:p>
    <w:p>
      <w:pPr>
        <w:adjustRightInd w:val="0"/>
        <w:spacing w:line="360" w:lineRule="auto"/>
        <w:ind w:firstLine="480" w:firstLineChars="200"/>
        <w:contextualSpacing/>
        <w:rPr>
          <w:color w:val="auto"/>
          <w:sz w:val="24"/>
        </w:rPr>
      </w:pPr>
      <w:r>
        <w:rPr>
          <w:color w:val="auto"/>
          <w:sz w:val="24"/>
        </w:rPr>
        <w:t>根据项目建设水土流失特点、危害程度和防治目标，结合项目区自然环境状况，在分析评价主体工程中具有水土保持功能措施的基础上，确定水土保持措施的总体布局。按照工程措施与植物措施相结合，永久措施与临时措施相结合，点、线、面相结合的原则，形成布局合理的水土保持综合防治体系。本方案的防治措施设计将在主体工程具有水土保持功能措施的基础上进行补充完善，并把本次主体工程设计的具有水土保持功能的设施纳入水土流失防治体系中，建立完整有效的水土保持防护体系，合理确定水土保持方案总体布局，以形成完整的、科学的水土保持防治体系。</w:t>
      </w:r>
    </w:p>
    <w:p>
      <w:pPr>
        <w:adjustRightInd w:val="0"/>
        <w:spacing w:line="360" w:lineRule="auto"/>
        <w:ind w:firstLine="480" w:firstLineChars="200"/>
        <w:contextualSpacing/>
        <w:rPr>
          <w:color w:val="auto"/>
          <w:sz w:val="24"/>
        </w:rPr>
      </w:pPr>
      <w:r>
        <w:rPr>
          <w:color w:val="auto"/>
          <w:sz w:val="24"/>
        </w:rPr>
        <w:t>水土流失防治措施体系见图5.2-1。</w:t>
      </w:r>
    </w:p>
    <w:p>
      <w:pPr>
        <w:pStyle w:val="11"/>
        <w:adjustRightInd w:val="0"/>
        <w:snapToGrid w:val="0"/>
        <w:spacing w:after="0" w:line="300" w:lineRule="auto"/>
        <w:contextualSpacing/>
        <w:jc w:val="center"/>
        <w:rPr>
          <w:b/>
          <w:color w:val="auto"/>
          <w:sz w:val="24"/>
        </w:rPr>
      </w:pPr>
      <w:r>
        <w:rPr>
          <w:color w:val="auto"/>
        </w:rPr>
        <w:drawing>
          <wp:inline distT="0" distB="0" distL="0" distR="0">
            <wp:extent cx="4318000" cy="2162175"/>
            <wp:effectExtent l="0" t="0" r="6350" b="9525"/>
            <wp:docPr id="1943216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16277" name="图片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35219" cy="2171263"/>
                    </a:xfrm>
                    <a:prstGeom prst="rect">
                      <a:avLst/>
                    </a:prstGeom>
                  </pic:spPr>
                </pic:pic>
              </a:graphicData>
            </a:graphic>
          </wp:inline>
        </w:drawing>
      </w:r>
    </w:p>
    <w:p>
      <w:pPr>
        <w:pStyle w:val="11"/>
        <w:adjustRightInd w:val="0"/>
        <w:snapToGrid w:val="0"/>
        <w:spacing w:after="0" w:line="300" w:lineRule="auto"/>
        <w:contextualSpacing/>
        <w:jc w:val="center"/>
        <w:rPr>
          <w:b/>
          <w:color w:val="auto"/>
          <w:sz w:val="21"/>
          <w:szCs w:val="21"/>
        </w:rPr>
      </w:pPr>
      <w:r>
        <w:rPr>
          <w:b/>
          <w:color w:val="auto"/>
          <w:sz w:val="21"/>
          <w:szCs w:val="21"/>
        </w:rPr>
        <w:t>图5.2-1 水土流失防治措施体系图（</w:t>
      </w:r>
      <w:r>
        <w:rPr>
          <w:rFonts w:hint="eastAsia"/>
          <w:b/>
          <w:color w:val="auto"/>
          <w:sz w:val="21"/>
          <w:szCs w:val="21"/>
        </w:rPr>
        <w:t>均为</w:t>
      </w:r>
      <w:r>
        <w:rPr>
          <w:b/>
          <w:color w:val="auto"/>
          <w:sz w:val="21"/>
          <w:szCs w:val="21"/>
        </w:rPr>
        <w:t>主体已列措施）</w:t>
      </w:r>
    </w:p>
    <w:p>
      <w:pPr>
        <w:spacing w:line="360" w:lineRule="auto"/>
        <w:contextualSpacing/>
        <w:outlineLvl w:val="1"/>
        <w:rPr>
          <w:b/>
          <w:bCs/>
          <w:color w:val="auto"/>
          <w:sz w:val="30"/>
          <w:szCs w:val="30"/>
        </w:rPr>
      </w:pPr>
      <w:bookmarkStart w:id="147" w:name="_Toc145530066"/>
      <w:bookmarkStart w:id="148" w:name="_Toc521945662"/>
      <w:r>
        <w:rPr>
          <w:b/>
          <w:bCs/>
          <w:color w:val="auto"/>
          <w:sz w:val="30"/>
          <w:szCs w:val="30"/>
        </w:rPr>
        <w:t>5.3分区措施布设</w:t>
      </w:r>
      <w:bookmarkEnd w:id="147"/>
      <w:bookmarkEnd w:id="148"/>
    </w:p>
    <w:p>
      <w:pPr>
        <w:spacing w:line="360" w:lineRule="auto"/>
        <w:ind w:firstLine="480" w:firstLineChars="200"/>
        <w:contextualSpacing/>
        <w:rPr>
          <w:color w:val="auto"/>
          <w:sz w:val="24"/>
        </w:rPr>
      </w:pPr>
      <w:r>
        <w:rPr>
          <w:rFonts w:hint="eastAsia"/>
          <w:color w:val="auto"/>
          <w:sz w:val="24"/>
        </w:rPr>
        <w:t>一、建构筑物防治区</w:t>
      </w:r>
    </w:p>
    <w:p>
      <w:pPr>
        <w:spacing w:line="360" w:lineRule="auto"/>
        <w:ind w:firstLine="480" w:firstLineChars="200"/>
        <w:contextualSpacing/>
        <w:rPr>
          <w:color w:val="auto"/>
          <w:sz w:val="24"/>
        </w:rPr>
      </w:pPr>
      <w:r>
        <w:rPr>
          <w:rFonts w:hint="eastAsia"/>
          <w:color w:val="auto"/>
          <w:sz w:val="24"/>
        </w:rPr>
        <w:t>1、临时措施</w:t>
      </w:r>
    </w:p>
    <w:p>
      <w:pPr>
        <w:spacing w:line="360" w:lineRule="auto"/>
        <w:ind w:firstLine="480" w:firstLineChars="200"/>
        <w:contextualSpacing/>
        <w:rPr>
          <w:color w:val="auto"/>
          <w:sz w:val="24"/>
        </w:rPr>
      </w:pPr>
      <w:r>
        <w:rPr>
          <w:rFonts w:hint="eastAsia"/>
          <w:color w:val="auto"/>
          <w:sz w:val="24"/>
        </w:rPr>
        <w:t>（1）临时苫盖</w:t>
      </w:r>
    </w:p>
    <w:p>
      <w:pPr>
        <w:spacing w:line="360" w:lineRule="auto"/>
        <w:ind w:firstLine="480" w:firstLineChars="200"/>
        <w:contextualSpacing/>
        <w:rPr>
          <w:color w:val="auto"/>
          <w:sz w:val="24"/>
        </w:rPr>
      </w:pPr>
      <w:r>
        <w:rPr>
          <w:rFonts w:hint="eastAsia"/>
          <w:bCs/>
          <w:color w:val="auto"/>
          <w:sz w:val="24"/>
        </w:rPr>
        <w:t>主体设计施工期间对基础开挖的土方进行苫盖，苫盖面积</w:t>
      </w:r>
      <w:r>
        <w:rPr>
          <w:bCs/>
          <w:color w:val="auto"/>
          <w:sz w:val="24"/>
        </w:rPr>
        <w:t>5200m</w:t>
      </w:r>
      <w:r>
        <w:rPr>
          <w:bCs/>
          <w:color w:val="auto"/>
          <w:sz w:val="24"/>
          <w:vertAlign w:val="superscript"/>
        </w:rPr>
        <w:t>2</w:t>
      </w:r>
      <w:r>
        <w:rPr>
          <w:bCs/>
          <w:color w:val="auto"/>
          <w:sz w:val="24"/>
        </w:rPr>
        <w:t>。</w:t>
      </w:r>
    </w:p>
    <w:p>
      <w:pPr>
        <w:spacing w:line="360" w:lineRule="auto"/>
        <w:ind w:firstLine="480" w:firstLineChars="200"/>
        <w:contextualSpacing/>
        <w:rPr>
          <w:color w:val="auto"/>
          <w:sz w:val="24"/>
        </w:rPr>
      </w:pPr>
      <w:r>
        <w:rPr>
          <w:rFonts w:hint="eastAsia"/>
          <w:color w:val="auto"/>
          <w:sz w:val="24"/>
        </w:rPr>
        <w:t>建构筑物防治区</w:t>
      </w:r>
      <w:r>
        <w:rPr>
          <w:color w:val="auto"/>
          <w:sz w:val="24"/>
        </w:rPr>
        <w:t>措施汇总见表5.3-1。</w:t>
      </w:r>
    </w:p>
    <w:p>
      <w:pPr>
        <w:pStyle w:val="11"/>
        <w:adjustRightInd w:val="0"/>
        <w:snapToGrid w:val="0"/>
        <w:spacing w:after="0" w:line="300" w:lineRule="auto"/>
        <w:contextualSpacing/>
        <w:jc w:val="center"/>
        <w:rPr>
          <w:b/>
          <w:color w:val="auto"/>
          <w:sz w:val="21"/>
          <w:szCs w:val="21"/>
        </w:rPr>
      </w:pPr>
      <w:r>
        <w:rPr>
          <w:b/>
          <w:color w:val="auto"/>
          <w:sz w:val="21"/>
          <w:szCs w:val="21"/>
        </w:rPr>
        <w:t xml:space="preserve">表5.3-1  </w:t>
      </w:r>
      <w:r>
        <w:rPr>
          <w:rFonts w:hint="eastAsia"/>
          <w:b/>
          <w:color w:val="auto"/>
          <w:sz w:val="21"/>
          <w:szCs w:val="21"/>
        </w:rPr>
        <w:t>建构筑物防治区</w:t>
      </w:r>
      <w:r>
        <w:rPr>
          <w:b/>
          <w:color w:val="auto"/>
          <w:sz w:val="21"/>
          <w:szCs w:val="21"/>
        </w:rPr>
        <w:t>水土保持措施表</w:t>
      </w:r>
    </w:p>
    <w:tbl>
      <w:tblPr>
        <w:tblStyle w:val="25"/>
        <w:tblW w:w="4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085"/>
        <w:gridCol w:w="1207"/>
        <w:gridCol w:w="134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编号</w:t>
            </w:r>
          </w:p>
        </w:tc>
        <w:tc>
          <w:tcPr>
            <w:tcW w:w="1378" w:type="pct"/>
            <w:vAlign w:val="center"/>
          </w:tcPr>
          <w:p>
            <w:pPr>
              <w:snapToGrid w:val="0"/>
              <w:jc w:val="center"/>
              <w:rPr>
                <w:b/>
                <w:bCs/>
                <w:color w:val="auto"/>
                <w:sz w:val="21"/>
                <w:szCs w:val="21"/>
              </w:rPr>
            </w:pPr>
            <w:r>
              <w:rPr>
                <w:b/>
                <w:bCs/>
                <w:color w:val="auto"/>
                <w:sz w:val="21"/>
                <w:szCs w:val="21"/>
              </w:rPr>
              <w:t>工程或费用名称</w:t>
            </w:r>
          </w:p>
        </w:tc>
        <w:tc>
          <w:tcPr>
            <w:tcW w:w="798" w:type="pct"/>
            <w:vAlign w:val="center"/>
          </w:tcPr>
          <w:p>
            <w:pPr>
              <w:snapToGrid w:val="0"/>
              <w:jc w:val="center"/>
              <w:rPr>
                <w:b/>
                <w:bCs/>
                <w:color w:val="auto"/>
                <w:sz w:val="21"/>
                <w:szCs w:val="21"/>
              </w:rPr>
            </w:pPr>
            <w:r>
              <w:rPr>
                <w:b/>
                <w:bCs/>
                <w:color w:val="auto"/>
                <w:sz w:val="21"/>
                <w:szCs w:val="21"/>
              </w:rPr>
              <w:t>单位</w:t>
            </w:r>
          </w:p>
        </w:tc>
        <w:tc>
          <w:tcPr>
            <w:tcW w:w="887" w:type="pct"/>
            <w:vAlign w:val="center"/>
          </w:tcPr>
          <w:p>
            <w:pPr>
              <w:snapToGrid w:val="0"/>
              <w:jc w:val="center"/>
              <w:rPr>
                <w:b/>
                <w:bCs/>
                <w:color w:val="auto"/>
                <w:sz w:val="21"/>
                <w:szCs w:val="21"/>
              </w:rPr>
            </w:pPr>
            <w:r>
              <w:rPr>
                <w:b/>
                <w:bCs/>
                <w:color w:val="auto"/>
                <w:sz w:val="21"/>
                <w:szCs w:val="21"/>
              </w:rPr>
              <w:t>数量</w:t>
            </w:r>
          </w:p>
        </w:tc>
        <w:tc>
          <w:tcPr>
            <w:tcW w:w="1168" w:type="pct"/>
            <w:vAlign w:val="center"/>
          </w:tcPr>
          <w:p>
            <w:pPr>
              <w:snapToGrid w:val="0"/>
              <w:jc w:val="center"/>
              <w:rPr>
                <w:b/>
                <w:bCs/>
                <w:color w:val="auto"/>
                <w:sz w:val="21"/>
                <w:szCs w:val="21"/>
              </w:rPr>
            </w:pPr>
            <w:r>
              <w:rPr>
                <w:rFonts w:hint="eastAsia"/>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一</w:t>
            </w:r>
          </w:p>
        </w:tc>
        <w:tc>
          <w:tcPr>
            <w:tcW w:w="1378" w:type="pct"/>
            <w:vAlign w:val="center"/>
          </w:tcPr>
          <w:p>
            <w:pPr>
              <w:snapToGrid w:val="0"/>
              <w:jc w:val="center"/>
              <w:rPr>
                <w:b/>
                <w:bCs/>
                <w:color w:val="auto"/>
                <w:sz w:val="21"/>
                <w:szCs w:val="21"/>
              </w:rPr>
            </w:pPr>
            <w:r>
              <w:rPr>
                <w:rFonts w:hint="eastAsia"/>
                <w:b/>
                <w:bCs/>
                <w:color w:val="auto"/>
                <w:sz w:val="21"/>
                <w:szCs w:val="21"/>
              </w:rPr>
              <w:t>临时</w:t>
            </w:r>
            <w:r>
              <w:rPr>
                <w:b/>
                <w:bCs/>
                <w:color w:val="auto"/>
                <w:sz w:val="21"/>
                <w:szCs w:val="21"/>
              </w:rPr>
              <w:t>措施</w:t>
            </w:r>
          </w:p>
        </w:tc>
        <w:tc>
          <w:tcPr>
            <w:tcW w:w="798" w:type="pct"/>
            <w:vAlign w:val="center"/>
          </w:tcPr>
          <w:p>
            <w:pPr>
              <w:snapToGrid w:val="0"/>
              <w:jc w:val="center"/>
              <w:rPr>
                <w:color w:val="auto"/>
                <w:sz w:val="21"/>
                <w:szCs w:val="21"/>
              </w:rPr>
            </w:pPr>
          </w:p>
        </w:tc>
        <w:tc>
          <w:tcPr>
            <w:tcW w:w="887" w:type="pct"/>
            <w:vAlign w:val="center"/>
          </w:tcPr>
          <w:p>
            <w:pPr>
              <w:snapToGrid w:val="0"/>
              <w:jc w:val="center"/>
              <w:rPr>
                <w:color w:val="auto"/>
                <w:sz w:val="21"/>
                <w:szCs w:val="21"/>
              </w:rPr>
            </w:pPr>
          </w:p>
        </w:tc>
        <w:tc>
          <w:tcPr>
            <w:tcW w:w="1168" w:type="pct"/>
            <w:vAlign w:val="center"/>
          </w:tcPr>
          <w:p>
            <w:pPr>
              <w:snapToGrid w:val="0"/>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color w:val="auto"/>
                <w:sz w:val="21"/>
                <w:szCs w:val="21"/>
              </w:rPr>
              <w:t>1</w:t>
            </w:r>
          </w:p>
        </w:tc>
        <w:tc>
          <w:tcPr>
            <w:tcW w:w="1378" w:type="pct"/>
            <w:vAlign w:val="center"/>
          </w:tcPr>
          <w:p>
            <w:pPr>
              <w:snapToGrid w:val="0"/>
              <w:jc w:val="center"/>
              <w:rPr>
                <w:color w:val="auto"/>
                <w:sz w:val="21"/>
                <w:szCs w:val="21"/>
              </w:rPr>
            </w:pPr>
            <w:r>
              <w:rPr>
                <w:rFonts w:hint="eastAsia"/>
                <w:color w:val="auto"/>
                <w:sz w:val="21"/>
                <w:szCs w:val="21"/>
              </w:rPr>
              <w:t>临时苫盖及拆除◆</w:t>
            </w:r>
          </w:p>
        </w:tc>
        <w:tc>
          <w:tcPr>
            <w:tcW w:w="798" w:type="pct"/>
            <w:vAlign w:val="center"/>
          </w:tcPr>
          <w:p>
            <w:pPr>
              <w:widowControl/>
              <w:jc w:val="center"/>
              <w:textAlignment w:val="center"/>
              <w:rPr>
                <w:bCs/>
                <w:color w:val="auto"/>
                <w:kern w:val="0"/>
                <w:sz w:val="21"/>
                <w:szCs w:val="21"/>
                <w:lang w:bidi="ar"/>
              </w:rPr>
            </w:pPr>
            <w:r>
              <w:rPr>
                <w:bCs/>
                <w:color w:val="auto"/>
                <w:kern w:val="0"/>
                <w:sz w:val="21"/>
                <w:szCs w:val="21"/>
                <w:lang w:bidi="ar"/>
              </w:rPr>
              <w:t>m</w:t>
            </w:r>
            <w:r>
              <w:rPr>
                <w:bCs/>
                <w:color w:val="auto"/>
                <w:kern w:val="0"/>
                <w:sz w:val="21"/>
                <w:szCs w:val="21"/>
                <w:vertAlign w:val="superscript"/>
                <w:lang w:bidi="ar"/>
              </w:rPr>
              <w:t>2</w:t>
            </w:r>
          </w:p>
        </w:tc>
        <w:tc>
          <w:tcPr>
            <w:tcW w:w="887" w:type="pct"/>
            <w:vAlign w:val="center"/>
          </w:tcPr>
          <w:p>
            <w:pPr>
              <w:jc w:val="center"/>
              <w:rPr>
                <w:rFonts w:hint="eastAsia"/>
                <w:color w:val="auto"/>
                <w:sz w:val="21"/>
                <w:szCs w:val="21"/>
              </w:rPr>
            </w:pPr>
            <w:r>
              <w:rPr>
                <w:color w:val="auto"/>
                <w:sz w:val="21"/>
                <w:szCs w:val="21"/>
              </w:rPr>
              <w:t>5200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已实施</w:t>
            </w:r>
          </w:p>
        </w:tc>
      </w:tr>
    </w:tbl>
    <w:p>
      <w:pPr>
        <w:pStyle w:val="11"/>
        <w:adjustRightInd w:val="0"/>
        <w:snapToGrid w:val="0"/>
        <w:spacing w:after="0" w:line="360" w:lineRule="auto"/>
        <w:ind w:firstLine="420" w:firstLineChars="200"/>
        <w:contextualSpacing/>
        <w:rPr>
          <w:color w:val="auto"/>
          <w:sz w:val="24"/>
        </w:rPr>
      </w:pPr>
      <w:r>
        <w:rPr>
          <w:rFonts w:hint="eastAsia"/>
          <w:color w:val="auto"/>
          <w:sz w:val="21"/>
          <w:szCs w:val="21"/>
        </w:rPr>
        <w:t>注：“◆”表示主体已列措施。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二</w:t>
      </w:r>
      <w:r>
        <w:rPr>
          <w:color w:val="auto"/>
          <w:sz w:val="24"/>
        </w:rPr>
        <w:t>、</w:t>
      </w:r>
      <w:r>
        <w:rPr>
          <w:rFonts w:hint="eastAsia"/>
          <w:color w:val="auto"/>
          <w:sz w:val="24"/>
        </w:rPr>
        <w:t>道路地面硬化</w:t>
      </w:r>
      <w:r>
        <w:rPr>
          <w:color w:val="auto"/>
          <w:sz w:val="24"/>
        </w:rPr>
        <w:t>防治区</w:t>
      </w:r>
    </w:p>
    <w:p>
      <w:pPr>
        <w:pStyle w:val="11"/>
        <w:adjustRightInd w:val="0"/>
        <w:snapToGrid w:val="0"/>
        <w:spacing w:after="0" w:line="360" w:lineRule="auto"/>
        <w:ind w:firstLine="480" w:firstLineChars="200"/>
        <w:contextualSpacing/>
        <w:rPr>
          <w:color w:val="auto"/>
          <w:sz w:val="24"/>
        </w:rPr>
      </w:pPr>
      <w:r>
        <w:rPr>
          <w:color w:val="auto"/>
          <w:sz w:val="24"/>
        </w:rPr>
        <w:t>1</w:t>
      </w:r>
      <w:r>
        <w:rPr>
          <w:rFonts w:hint="eastAsia"/>
          <w:color w:val="auto"/>
          <w:sz w:val="24"/>
        </w:rPr>
        <w:t>、工程措施</w:t>
      </w:r>
    </w:p>
    <w:p>
      <w:pPr>
        <w:pStyle w:val="11"/>
        <w:adjustRightInd w:val="0"/>
        <w:snapToGrid w:val="0"/>
        <w:spacing w:after="0" w:line="360" w:lineRule="auto"/>
        <w:ind w:firstLine="480" w:firstLineChars="200"/>
        <w:contextualSpacing/>
        <w:rPr>
          <w:color w:val="auto"/>
          <w:sz w:val="24"/>
        </w:rPr>
      </w:pPr>
      <w:r>
        <w:rPr>
          <w:color w:val="auto"/>
          <w:sz w:val="24"/>
        </w:rPr>
        <w:t>（1）</w:t>
      </w:r>
      <w:r>
        <w:rPr>
          <w:rFonts w:hint="eastAsia"/>
          <w:color w:val="auto"/>
          <w:sz w:val="24"/>
        </w:rPr>
        <w:t>雨水管网</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w:t>
      </w:r>
      <w:r>
        <w:rPr>
          <w:color w:val="auto"/>
          <w:sz w:val="24"/>
        </w:rPr>
        <w:t>雨水排水系统沿道路布设，雨水经收集后</w:t>
      </w:r>
      <w:r>
        <w:rPr>
          <w:rFonts w:hint="eastAsia"/>
          <w:color w:val="auto"/>
          <w:sz w:val="24"/>
        </w:rPr>
        <w:t>排入北侧规划七路雨水管网和东侧规划三路雨水管网</w:t>
      </w:r>
      <w:r>
        <w:rPr>
          <w:color w:val="auto"/>
          <w:sz w:val="24"/>
        </w:rPr>
        <w:t>。排水管道坡向与道路坡向一致，管道管径为</w:t>
      </w:r>
      <w:r>
        <w:rPr>
          <w:rFonts w:hint="eastAsia"/>
          <w:color w:val="auto"/>
          <w:sz w:val="24"/>
        </w:rPr>
        <w:t>D</w:t>
      </w:r>
      <w:r>
        <w:rPr>
          <w:color w:val="auto"/>
          <w:sz w:val="24"/>
        </w:rPr>
        <w:t>1000~D1200</w:t>
      </w:r>
      <w:r>
        <w:rPr>
          <w:rFonts w:hint="eastAsia"/>
          <w:color w:val="auto"/>
          <w:sz w:val="24"/>
        </w:rPr>
        <w:t>。</w:t>
      </w:r>
      <w:r>
        <w:rPr>
          <w:color w:val="auto"/>
          <w:sz w:val="24"/>
        </w:rPr>
        <w:t>根据主体工程设计，本区共布设</w:t>
      </w:r>
      <w:r>
        <w:rPr>
          <w:rFonts w:hint="eastAsia"/>
          <w:color w:val="auto"/>
          <w:sz w:val="24"/>
        </w:rPr>
        <w:t>D</w:t>
      </w:r>
      <w:r>
        <w:rPr>
          <w:color w:val="auto"/>
          <w:sz w:val="24"/>
        </w:rPr>
        <w:t>1000</w:t>
      </w:r>
      <w:r>
        <w:rPr>
          <w:rFonts w:hint="eastAsia"/>
          <w:color w:val="auto"/>
          <w:sz w:val="24"/>
        </w:rPr>
        <w:t>混凝土</w:t>
      </w:r>
      <w:r>
        <w:rPr>
          <w:color w:val="auto"/>
          <w:sz w:val="24"/>
        </w:rPr>
        <w:t>雨水管100m、</w:t>
      </w:r>
      <w:r>
        <w:rPr>
          <w:rFonts w:hint="eastAsia"/>
          <w:color w:val="auto"/>
          <w:sz w:val="24"/>
        </w:rPr>
        <w:t>D</w:t>
      </w:r>
      <w:r>
        <w:rPr>
          <w:color w:val="auto"/>
          <w:sz w:val="24"/>
        </w:rPr>
        <w:t>1200</w:t>
      </w:r>
      <w:r>
        <w:rPr>
          <w:rFonts w:hint="eastAsia"/>
          <w:color w:val="auto"/>
          <w:sz w:val="24"/>
        </w:rPr>
        <w:t>混凝土</w:t>
      </w:r>
      <w:r>
        <w:rPr>
          <w:color w:val="auto"/>
          <w:sz w:val="24"/>
        </w:rPr>
        <w:t>雨水管149m、雨水井18</w:t>
      </w:r>
      <w:r>
        <w:rPr>
          <w:rFonts w:hint="eastAsia"/>
          <w:color w:val="auto"/>
          <w:sz w:val="24"/>
        </w:rPr>
        <w:t>座</w:t>
      </w:r>
      <w:r>
        <w:rPr>
          <w:color w:val="auto"/>
          <w:sz w:val="24"/>
        </w:rPr>
        <w:t>。</w:t>
      </w:r>
    </w:p>
    <w:p>
      <w:pPr>
        <w:pStyle w:val="11"/>
        <w:adjustRightInd w:val="0"/>
        <w:snapToGrid w:val="0"/>
        <w:spacing w:after="0" w:line="360" w:lineRule="auto"/>
        <w:ind w:firstLine="480" w:firstLineChars="200"/>
        <w:contextualSpacing/>
        <w:rPr>
          <w:color w:val="auto"/>
          <w:sz w:val="24"/>
        </w:rPr>
      </w:pPr>
      <w:r>
        <w:rPr>
          <w:rFonts w:hint="eastAsia"/>
          <w:color w:val="auto"/>
          <w:sz w:val="24"/>
        </w:rPr>
        <w:t>（2）排水明沟</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主体设计沿地块西侧和南侧布设排水明沟2</w:t>
      </w:r>
      <w:r>
        <w:rPr>
          <w:color w:val="auto"/>
          <w:sz w:val="24"/>
        </w:rPr>
        <w:t>60m</w:t>
      </w:r>
      <w:r>
        <w:rPr>
          <w:rFonts w:hint="eastAsia"/>
          <w:color w:val="auto"/>
          <w:sz w:val="24"/>
        </w:rPr>
        <w:t>。排水沟断面为矩形，采用C</w:t>
      </w:r>
      <w:r>
        <w:rPr>
          <w:color w:val="auto"/>
          <w:sz w:val="24"/>
        </w:rPr>
        <w:t>25</w:t>
      </w:r>
      <w:r>
        <w:rPr>
          <w:rFonts w:hint="eastAsia"/>
          <w:color w:val="auto"/>
          <w:sz w:val="24"/>
        </w:rPr>
        <w:t>混凝土浇筑，底宽5</w:t>
      </w:r>
      <w:r>
        <w:rPr>
          <w:color w:val="auto"/>
          <w:sz w:val="24"/>
        </w:rPr>
        <w:t>0cm</w:t>
      </w:r>
      <w:r>
        <w:rPr>
          <w:rFonts w:hint="eastAsia"/>
          <w:color w:val="auto"/>
          <w:sz w:val="24"/>
        </w:rPr>
        <w:t>，深5</w:t>
      </w:r>
      <w:r>
        <w:rPr>
          <w:color w:val="auto"/>
          <w:sz w:val="24"/>
        </w:rPr>
        <w:t>0cm</w:t>
      </w:r>
      <w:r>
        <w:rPr>
          <w:rFonts w:hint="eastAsia"/>
          <w:color w:val="auto"/>
          <w:sz w:val="24"/>
        </w:rPr>
        <w:t>，壁厚1</w:t>
      </w:r>
      <w:r>
        <w:rPr>
          <w:color w:val="auto"/>
          <w:sz w:val="24"/>
        </w:rPr>
        <w:t>5cm</w:t>
      </w:r>
      <w:r>
        <w:rPr>
          <w:rFonts w:hint="eastAsia"/>
          <w:color w:val="auto"/>
          <w:sz w:val="24"/>
        </w:rPr>
        <w:t>。</w:t>
      </w:r>
    </w:p>
    <w:p>
      <w:pPr>
        <w:pStyle w:val="11"/>
        <w:adjustRightInd w:val="0"/>
        <w:snapToGrid w:val="0"/>
        <w:spacing w:after="0" w:line="360" w:lineRule="auto"/>
        <w:ind w:firstLine="480" w:firstLineChars="200"/>
        <w:contextualSpacing/>
        <w:rPr>
          <w:color w:val="auto"/>
          <w:sz w:val="24"/>
        </w:rPr>
      </w:pPr>
      <w:r>
        <w:rPr>
          <w:rFonts w:hint="eastAsia"/>
          <w:color w:val="auto"/>
          <w:sz w:val="24"/>
        </w:rPr>
        <w:t>道路地面硬化防治</w:t>
      </w:r>
      <w:r>
        <w:rPr>
          <w:color w:val="auto"/>
          <w:sz w:val="24"/>
        </w:rPr>
        <w:t>区措施汇总见表5.3-2。</w:t>
      </w:r>
    </w:p>
    <w:p>
      <w:pPr>
        <w:pStyle w:val="11"/>
        <w:adjustRightInd w:val="0"/>
        <w:snapToGrid w:val="0"/>
        <w:spacing w:after="0" w:line="300" w:lineRule="auto"/>
        <w:contextualSpacing/>
        <w:jc w:val="center"/>
        <w:rPr>
          <w:b/>
          <w:color w:val="auto"/>
          <w:sz w:val="21"/>
          <w:szCs w:val="21"/>
        </w:rPr>
      </w:pPr>
      <w:r>
        <w:rPr>
          <w:b/>
          <w:color w:val="auto"/>
          <w:sz w:val="21"/>
          <w:szCs w:val="21"/>
        </w:rPr>
        <w:t xml:space="preserve">表5.3-2  </w:t>
      </w:r>
      <w:r>
        <w:rPr>
          <w:rFonts w:hint="eastAsia"/>
          <w:b/>
          <w:color w:val="auto"/>
          <w:sz w:val="21"/>
          <w:szCs w:val="21"/>
        </w:rPr>
        <w:t>道路地面硬化防治</w:t>
      </w:r>
      <w:r>
        <w:rPr>
          <w:b/>
          <w:color w:val="auto"/>
          <w:sz w:val="21"/>
          <w:szCs w:val="21"/>
        </w:rPr>
        <w:t>区水土保持措施表</w:t>
      </w:r>
    </w:p>
    <w:tbl>
      <w:tblPr>
        <w:tblStyle w:val="25"/>
        <w:tblW w:w="4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085"/>
        <w:gridCol w:w="1207"/>
        <w:gridCol w:w="134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编号</w:t>
            </w:r>
          </w:p>
        </w:tc>
        <w:tc>
          <w:tcPr>
            <w:tcW w:w="1378" w:type="pct"/>
            <w:vAlign w:val="center"/>
          </w:tcPr>
          <w:p>
            <w:pPr>
              <w:snapToGrid w:val="0"/>
              <w:jc w:val="center"/>
              <w:rPr>
                <w:b/>
                <w:bCs/>
                <w:color w:val="auto"/>
                <w:sz w:val="21"/>
                <w:szCs w:val="21"/>
              </w:rPr>
            </w:pPr>
            <w:r>
              <w:rPr>
                <w:b/>
                <w:bCs/>
                <w:color w:val="auto"/>
                <w:sz w:val="21"/>
                <w:szCs w:val="21"/>
              </w:rPr>
              <w:t>工程或费用名称</w:t>
            </w:r>
          </w:p>
        </w:tc>
        <w:tc>
          <w:tcPr>
            <w:tcW w:w="798" w:type="pct"/>
            <w:vAlign w:val="center"/>
          </w:tcPr>
          <w:p>
            <w:pPr>
              <w:snapToGrid w:val="0"/>
              <w:jc w:val="center"/>
              <w:rPr>
                <w:b/>
                <w:bCs/>
                <w:color w:val="auto"/>
                <w:sz w:val="21"/>
                <w:szCs w:val="21"/>
              </w:rPr>
            </w:pPr>
            <w:r>
              <w:rPr>
                <w:b/>
                <w:bCs/>
                <w:color w:val="auto"/>
                <w:sz w:val="21"/>
                <w:szCs w:val="21"/>
              </w:rPr>
              <w:t>单位</w:t>
            </w:r>
          </w:p>
        </w:tc>
        <w:tc>
          <w:tcPr>
            <w:tcW w:w="887" w:type="pct"/>
            <w:vAlign w:val="center"/>
          </w:tcPr>
          <w:p>
            <w:pPr>
              <w:snapToGrid w:val="0"/>
              <w:jc w:val="center"/>
              <w:rPr>
                <w:b/>
                <w:bCs/>
                <w:color w:val="auto"/>
                <w:sz w:val="21"/>
                <w:szCs w:val="21"/>
              </w:rPr>
            </w:pPr>
            <w:r>
              <w:rPr>
                <w:b/>
                <w:bCs/>
                <w:color w:val="auto"/>
                <w:sz w:val="21"/>
                <w:szCs w:val="21"/>
              </w:rPr>
              <w:t>数量</w:t>
            </w:r>
          </w:p>
        </w:tc>
        <w:tc>
          <w:tcPr>
            <w:tcW w:w="1168" w:type="pct"/>
            <w:vAlign w:val="center"/>
          </w:tcPr>
          <w:p>
            <w:pPr>
              <w:snapToGrid w:val="0"/>
              <w:jc w:val="center"/>
              <w:rPr>
                <w:b/>
                <w:bCs/>
                <w:color w:val="auto"/>
                <w:sz w:val="21"/>
                <w:szCs w:val="21"/>
              </w:rPr>
            </w:pPr>
            <w:r>
              <w:rPr>
                <w:rFonts w:hint="eastAsia"/>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一</w:t>
            </w:r>
          </w:p>
        </w:tc>
        <w:tc>
          <w:tcPr>
            <w:tcW w:w="1378" w:type="pct"/>
            <w:vAlign w:val="center"/>
          </w:tcPr>
          <w:p>
            <w:pPr>
              <w:snapToGrid w:val="0"/>
              <w:jc w:val="center"/>
              <w:rPr>
                <w:b/>
                <w:bCs/>
                <w:color w:val="auto"/>
                <w:sz w:val="21"/>
                <w:szCs w:val="21"/>
              </w:rPr>
            </w:pPr>
            <w:r>
              <w:rPr>
                <w:b/>
                <w:bCs/>
                <w:color w:val="auto"/>
                <w:sz w:val="21"/>
                <w:szCs w:val="21"/>
              </w:rPr>
              <w:t>工程措施</w:t>
            </w:r>
          </w:p>
        </w:tc>
        <w:tc>
          <w:tcPr>
            <w:tcW w:w="798" w:type="pct"/>
            <w:vAlign w:val="center"/>
          </w:tcPr>
          <w:p>
            <w:pPr>
              <w:snapToGrid w:val="0"/>
              <w:jc w:val="center"/>
              <w:rPr>
                <w:color w:val="auto"/>
                <w:sz w:val="21"/>
                <w:szCs w:val="21"/>
              </w:rPr>
            </w:pPr>
          </w:p>
        </w:tc>
        <w:tc>
          <w:tcPr>
            <w:tcW w:w="887" w:type="pct"/>
            <w:vAlign w:val="center"/>
          </w:tcPr>
          <w:p>
            <w:pPr>
              <w:snapToGrid w:val="0"/>
              <w:jc w:val="center"/>
              <w:rPr>
                <w:color w:val="auto"/>
                <w:sz w:val="21"/>
                <w:szCs w:val="21"/>
              </w:rPr>
            </w:pPr>
          </w:p>
        </w:tc>
        <w:tc>
          <w:tcPr>
            <w:tcW w:w="1168" w:type="pct"/>
            <w:vAlign w:val="center"/>
          </w:tcPr>
          <w:p>
            <w:pPr>
              <w:snapToGrid w:val="0"/>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color w:val="auto"/>
                <w:sz w:val="21"/>
                <w:szCs w:val="21"/>
              </w:rPr>
              <w:t>1</w:t>
            </w:r>
          </w:p>
        </w:tc>
        <w:tc>
          <w:tcPr>
            <w:tcW w:w="1378" w:type="pct"/>
            <w:vAlign w:val="center"/>
          </w:tcPr>
          <w:p>
            <w:pPr>
              <w:snapToGrid w:val="0"/>
              <w:jc w:val="center"/>
              <w:rPr>
                <w:color w:val="auto"/>
                <w:sz w:val="21"/>
                <w:szCs w:val="21"/>
              </w:rPr>
            </w:pPr>
            <w:r>
              <w:rPr>
                <w:color w:val="auto"/>
                <w:sz w:val="21"/>
                <w:szCs w:val="21"/>
              </w:rPr>
              <w:t>雨水管</w:t>
            </w:r>
            <w:r>
              <w:rPr>
                <w:rFonts w:hint="eastAsia"/>
                <w:color w:val="auto"/>
                <w:sz w:val="21"/>
                <w:szCs w:val="21"/>
              </w:rPr>
              <w:t>网◆</w:t>
            </w:r>
          </w:p>
        </w:tc>
        <w:tc>
          <w:tcPr>
            <w:tcW w:w="798" w:type="pct"/>
            <w:vAlign w:val="center"/>
          </w:tcPr>
          <w:p>
            <w:pPr>
              <w:widowControl/>
              <w:jc w:val="center"/>
              <w:textAlignment w:val="center"/>
              <w:rPr>
                <w:bCs/>
                <w:color w:val="auto"/>
                <w:kern w:val="0"/>
                <w:sz w:val="21"/>
                <w:szCs w:val="21"/>
                <w:lang w:bidi="ar"/>
              </w:rPr>
            </w:pPr>
            <w:r>
              <w:rPr>
                <w:color w:val="auto"/>
                <w:sz w:val="21"/>
                <w:szCs w:val="21"/>
              </w:rPr>
              <w:t>m</w:t>
            </w:r>
          </w:p>
        </w:tc>
        <w:tc>
          <w:tcPr>
            <w:tcW w:w="887" w:type="pct"/>
            <w:vAlign w:val="center"/>
          </w:tcPr>
          <w:p>
            <w:pPr>
              <w:jc w:val="center"/>
              <w:rPr>
                <w:color w:val="auto"/>
                <w:sz w:val="21"/>
                <w:szCs w:val="21"/>
              </w:rPr>
            </w:pPr>
            <w:r>
              <w:rPr>
                <w:rFonts w:hint="eastAsia"/>
                <w:color w:val="auto"/>
                <w:sz w:val="21"/>
                <w:szCs w:val="21"/>
              </w:rPr>
              <w:t>1</w:t>
            </w:r>
            <w:r>
              <w:rPr>
                <w:color w:val="auto"/>
                <w:sz w:val="21"/>
                <w:szCs w:val="21"/>
              </w:rPr>
              <w:t>00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rFonts w:hint="eastAsia"/>
                <w:color w:val="auto"/>
                <w:sz w:val="21"/>
                <w:szCs w:val="21"/>
              </w:rPr>
              <w:t>①</w:t>
            </w:r>
          </w:p>
        </w:tc>
        <w:tc>
          <w:tcPr>
            <w:tcW w:w="1378" w:type="pct"/>
            <w:vAlign w:val="center"/>
          </w:tcPr>
          <w:p>
            <w:pPr>
              <w:snapToGrid w:val="0"/>
              <w:jc w:val="center"/>
              <w:rPr>
                <w:color w:val="auto"/>
                <w:sz w:val="21"/>
                <w:szCs w:val="21"/>
              </w:rPr>
            </w:pPr>
            <w:r>
              <w:rPr>
                <w:rFonts w:hint="eastAsia"/>
                <w:color w:val="auto"/>
                <w:sz w:val="21"/>
                <w:szCs w:val="21"/>
              </w:rPr>
              <w:t>D</w:t>
            </w:r>
            <w:r>
              <w:rPr>
                <w:color w:val="auto"/>
                <w:sz w:val="21"/>
                <w:szCs w:val="21"/>
              </w:rPr>
              <w:t>1000</w:t>
            </w:r>
            <w:r>
              <w:rPr>
                <w:rFonts w:hint="eastAsia"/>
                <w:color w:val="auto"/>
                <w:sz w:val="21"/>
                <w:szCs w:val="21"/>
              </w:rPr>
              <w:t>混凝土管</w:t>
            </w:r>
          </w:p>
        </w:tc>
        <w:tc>
          <w:tcPr>
            <w:tcW w:w="798" w:type="pct"/>
            <w:vAlign w:val="center"/>
          </w:tcPr>
          <w:p>
            <w:pPr>
              <w:widowControl/>
              <w:jc w:val="center"/>
              <w:textAlignment w:val="center"/>
              <w:rPr>
                <w:bCs/>
                <w:color w:val="auto"/>
                <w:kern w:val="0"/>
                <w:sz w:val="21"/>
                <w:szCs w:val="21"/>
                <w:lang w:bidi="ar"/>
              </w:rPr>
            </w:pPr>
            <w:r>
              <w:rPr>
                <w:color w:val="auto"/>
                <w:sz w:val="21"/>
                <w:szCs w:val="21"/>
              </w:rPr>
              <w:t>m</w:t>
            </w:r>
          </w:p>
        </w:tc>
        <w:tc>
          <w:tcPr>
            <w:tcW w:w="887" w:type="pct"/>
            <w:vAlign w:val="center"/>
          </w:tcPr>
          <w:p>
            <w:pPr>
              <w:jc w:val="center"/>
              <w:rPr>
                <w:color w:val="auto"/>
                <w:sz w:val="21"/>
                <w:szCs w:val="21"/>
              </w:rPr>
            </w:pPr>
            <w:r>
              <w:rPr>
                <w:rFonts w:hint="eastAsia"/>
                <w:color w:val="auto"/>
                <w:sz w:val="21"/>
                <w:szCs w:val="21"/>
              </w:rPr>
              <w:t>1</w:t>
            </w:r>
            <w:r>
              <w:rPr>
                <w:color w:val="auto"/>
                <w:sz w:val="21"/>
                <w:szCs w:val="21"/>
              </w:rPr>
              <w:t>49</w:t>
            </w:r>
          </w:p>
        </w:tc>
        <w:tc>
          <w:tcPr>
            <w:tcW w:w="1168" w:type="pct"/>
            <w:vAlign w:val="center"/>
          </w:tcPr>
          <w:p>
            <w:pPr>
              <w:widowControl/>
              <w:jc w:val="center"/>
              <w:textAlignment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rFonts w:hint="eastAsia"/>
                <w:color w:val="auto"/>
                <w:sz w:val="21"/>
                <w:szCs w:val="21"/>
              </w:rPr>
              <w:t>②</w:t>
            </w:r>
          </w:p>
        </w:tc>
        <w:tc>
          <w:tcPr>
            <w:tcW w:w="1378" w:type="pct"/>
            <w:vAlign w:val="center"/>
          </w:tcPr>
          <w:p>
            <w:pPr>
              <w:snapToGrid w:val="0"/>
              <w:jc w:val="center"/>
              <w:rPr>
                <w:color w:val="auto"/>
                <w:sz w:val="21"/>
                <w:szCs w:val="21"/>
              </w:rPr>
            </w:pPr>
            <w:r>
              <w:rPr>
                <w:rFonts w:hint="eastAsia"/>
                <w:color w:val="auto"/>
                <w:sz w:val="21"/>
                <w:szCs w:val="21"/>
              </w:rPr>
              <w:t>D</w:t>
            </w:r>
            <w:r>
              <w:rPr>
                <w:color w:val="auto"/>
                <w:sz w:val="21"/>
                <w:szCs w:val="21"/>
              </w:rPr>
              <w:t>1200</w:t>
            </w:r>
            <w:r>
              <w:rPr>
                <w:rFonts w:hint="eastAsia"/>
                <w:color w:val="auto"/>
                <w:sz w:val="21"/>
                <w:szCs w:val="21"/>
              </w:rPr>
              <w:t>混凝土管</w:t>
            </w:r>
          </w:p>
        </w:tc>
        <w:tc>
          <w:tcPr>
            <w:tcW w:w="798" w:type="pct"/>
            <w:vAlign w:val="center"/>
          </w:tcPr>
          <w:p>
            <w:pPr>
              <w:widowControl/>
              <w:jc w:val="center"/>
              <w:textAlignment w:val="center"/>
              <w:rPr>
                <w:bCs/>
                <w:color w:val="auto"/>
                <w:kern w:val="0"/>
                <w:sz w:val="21"/>
                <w:szCs w:val="21"/>
                <w:lang w:bidi="ar"/>
              </w:rPr>
            </w:pPr>
            <w:r>
              <w:rPr>
                <w:rFonts w:hint="eastAsia"/>
                <w:color w:val="auto"/>
                <w:sz w:val="21"/>
                <w:szCs w:val="21"/>
              </w:rPr>
              <w:t>座</w:t>
            </w:r>
          </w:p>
        </w:tc>
        <w:tc>
          <w:tcPr>
            <w:tcW w:w="887" w:type="pct"/>
            <w:vAlign w:val="center"/>
          </w:tcPr>
          <w:p>
            <w:pPr>
              <w:jc w:val="center"/>
              <w:rPr>
                <w:color w:val="auto"/>
                <w:sz w:val="21"/>
                <w:szCs w:val="21"/>
              </w:rPr>
            </w:pPr>
            <w:r>
              <w:rPr>
                <w:rFonts w:hint="eastAsia"/>
                <w:color w:val="auto"/>
                <w:sz w:val="21"/>
                <w:szCs w:val="21"/>
              </w:rPr>
              <w:t>1</w:t>
            </w:r>
            <w:r>
              <w:rPr>
                <w:color w:val="auto"/>
                <w:sz w:val="21"/>
                <w:szCs w:val="21"/>
              </w:rPr>
              <w:t>8</w:t>
            </w:r>
          </w:p>
        </w:tc>
        <w:tc>
          <w:tcPr>
            <w:tcW w:w="1168" w:type="pct"/>
            <w:vAlign w:val="center"/>
          </w:tcPr>
          <w:p>
            <w:pPr>
              <w:widowControl/>
              <w:jc w:val="center"/>
              <w:textAlignment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rFonts w:hint="eastAsia"/>
                <w:color w:val="auto"/>
                <w:sz w:val="21"/>
                <w:szCs w:val="21"/>
              </w:rPr>
              <w:t>③</w:t>
            </w:r>
          </w:p>
        </w:tc>
        <w:tc>
          <w:tcPr>
            <w:tcW w:w="1378" w:type="pct"/>
            <w:vAlign w:val="center"/>
          </w:tcPr>
          <w:p>
            <w:pPr>
              <w:snapToGrid w:val="0"/>
              <w:jc w:val="center"/>
              <w:rPr>
                <w:color w:val="auto"/>
                <w:sz w:val="21"/>
                <w:szCs w:val="21"/>
              </w:rPr>
            </w:pPr>
            <w:r>
              <w:rPr>
                <w:rFonts w:hint="eastAsia"/>
                <w:color w:val="auto"/>
                <w:sz w:val="21"/>
                <w:szCs w:val="21"/>
              </w:rPr>
              <w:t>雨水井</w:t>
            </w:r>
          </w:p>
        </w:tc>
        <w:tc>
          <w:tcPr>
            <w:tcW w:w="798" w:type="pct"/>
            <w:vAlign w:val="center"/>
          </w:tcPr>
          <w:p>
            <w:pPr>
              <w:widowControl/>
              <w:jc w:val="center"/>
              <w:textAlignment w:val="center"/>
              <w:rPr>
                <w:bCs/>
                <w:color w:val="auto"/>
                <w:kern w:val="0"/>
                <w:sz w:val="21"/>
                <w:szCs w:val="21"/>
                <w:lang w:bidi="ar"/>
              </w:rPr>
            </w:pPr>
            <w:r>
              <w:rPr>
                <w:rFonts w:hint="eastAsia"/>
                <w:color w:val="auto"/>
                <w:sz w:val="21"/>
                <w:szCs w:val="21"/>
              </w:rPr>
              <w:t>m</w:t>
            </w:r>
          </w:p>
        </w:tc>
        <w:tc>
          <w:tcPr>
            <w:tcW w:w="887" w:type="pct"/>
            <w:vAlign w:val="center"/>
          </w:tcPr>
          <w:p>
            <w:pPr>
              <w:jc w:val="center"/>
              <w:rPr>
                <w:color w:val="auto"/>
                <w:sz w:val="21"/>
                <w:szCs w:val="21"/>
              </w:rPr>
            </w:pPr>
            <w:r>
              <w:rPr>
                <w:rFonts w:hint="eastAsia"/>
                <w:color w:val="auto"/>
                <w:sz w:val="21"/>
                <w:szCs w:val="21"/>
              </w:rPr>
              <w:t>2</w:t>
            </w:r>
            <w:r>
              <w:rPr>
                <w:color w:val="auto"/>
                <w:sz w:val="21"/>
                <w:szCs w:val="21"/>
              </w:rPr>
              <w:t>60</w:t>
            </w:r>
          </w:p>
        </w:tc>
        <w:tc>
          <w:tcPr>
            <w:tcW w:w="1168" w:type="pct"/>
            <w:vAlign w:val="center"/>
          </w:tcPr>
          <w:p>
            <w:pPr>
              <w:widowControl/>
              <w:jc w:val="center"/>
              <w:textAlignment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69" w:type="pct"/>
            <w:vAlign w:val="center"/>
          </w:tcPr>
          <w:p>
            <w:pPr>
              <w:snapToGrid w:val="0"/>
              <w:jc w:val="center"/>
              <w:rPr>
                <w:color w:val="auto"/>
                <w:sz w:val="21"/>
                <w:szCs w:val="21"/>
              </w:rPr>
            </w:pPr>
            <w:r>
              <w:rPr>
                <w:rFonts w:hint="eastAsia"/>
                <w:color w:val="auto"/>
                <w:sz w:val="21"/>
                <w:szCs w:val="21"/>
              </w:rPr>
              <w:t>2</w:t>
            </w:r>
          </w:p>
        </w:tc>
        <w:tc>
          <w:tcPr>
            <w:tcW w:w="1378" w:type="pct"/>
            <w:vAlign w:val="center"/>
          </w:tcPr>
          <w:p>
            <w:pPr>
              <w:snapToGrid w:val="0"/>
              <w:jc w:val="center"/>
              <w:rPr>
                <w:color w:val="auto"/>
                <w:sz w:val="21"/>
                <w:szCs w:val="21"/>
              </w:rPr>
            </w:pPr>
            <w:r>
              <w:rPr>
                <w:rFonts w:hint="eastAsia"/>
                <w:color w:val="auto"/>
                <w:sz w:val="21"/>
                <w:szCs w:val="21"/>
              </w:rPr>
              <w:t>排水明沟</w:t>
            </w:r>
          </w:p>
        </w:tc>
        <w:tc>
          <w:tcPr>
            <w:tcW w:w="798" w:type="pct"/>
            <w:vAlign w:val="center"/>
          </w:tcPr>
          <w:p>
            <w:pPr>
              <w:widowControl/>
              <w:jc w:val="center"/>
              <w:textAlignment w:val="center"/>
              <w:rPr>
                <w:bCs/>
                <w:color w:val="auto"/>
                <w:kern w:val="0"/>
                <w:sz w:val="21"/>
                <w:szCs w:val="21"/>
                <w:lang w:bidi="ar"/>
              </w:rPr>
            </w:pPr>
            <w:r>
              <w:rPr>
                <w:rFonts w:hint="eastAsia"/>
                <w:color w:val="auto"/>
                <w:sz w:val="21"/>
                <w:szCs w:val="21"/>
              </w:rPr>
              <w:t>m</w:t>
            </w:r>
          </w:p>
        </w:tc>
        <w:tc>
          <w:tcPr>
            <w:tcW w:w="887" w:type="pct"/>
            <w:vAlign w:val="center"/>
          </w:tcPr>
          <w:p>
            <w:pPr>
              <w:jc w:val="center"/>
              <w:rPr>
                <w:color w:val="auto"/>
                <w:sz w:val="21"/>
                <w:szCs w:val="21"/>
              </w:rPr>
            </w:pPr>
            <w:r>
              <w:rPr>
                <w:rFonts w:hint="eastAsia"/>
                <w:color w:val="auto"/>
                <w:sz w:val="21"/>
                <w:szCs w:val="21"/>
              </w:rPr>
              <w:t>2</w:t>
            </w:r>
            <w:r>
              <w:rPr>
                <w:color w:val="auto"/>
                <w:sz w:val="21"/>
                <w:szCs w:val="21"/>
              </w:rPr>
              <w:t>60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未实施</w:t>
            </w:r>
          </w:p>
        </w:tc>
      </w:tr>
    </w:tbl>
    <w:p>
      <w:pPr>
        <w:pStyle w:val="11"/>
        <w:adjustRightInd w:val="0"/>
        <w:snapToGrid w:val="0"/>
        <w:spacing w:after="0" w:line="360" w:lineRule="auto"/>
        <w:ind w:firstLine="420" w:firstLineChars="200"/>
        <w:contextualSpacing/>
        <w:rPr>
          <w:color w:val="auto"/>
          <w:sz w:val="21"/>
          <w:szCs w:val="21"/>
        </w:rPr>
      </w:pPr>
      <w:r>
        <w:rPr>
          <w:rFonts w:hint="eastAsia"/>
          <w:color w:val="auto"/>
          <w:sz w:val="21"/>
          <w:szCs w:val="21"/>
        </w:rPr>
        <w:t>注：“◆”表示主体已列措施。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三</w:t>
      </w:r>
      <w:r>
        <w:rPr>
          <w:color w:val="auto"/>
          <w:sz w:val="24"/>
        </w:rPr>
        <w:t>、</w:t>
      </w:r>
      <w:r>
        <w:rPr>
          <w:rFonts w:hint="eastAsia"/>
          <w:color w:val="auto"/>
          <w:sz w:val="24"/>
        </w:rPr>
        <w:t>绿化</w:t>
      </w:r>
      <w:r>
        <w:rPr>
          <w:color w:val="auto"/>
          <w:sz w:val="24"/>
        </w:rPr>
        <w:t>防治区</w:t>
      </w:r>
    </w:p>
    <w:p>
      <w:pPr>
        <w:pStyle w:val="11"/>
        <w:adjustRightInd w:val="0"/>
        <w:snapToGrid w:val="0"/>
        <w:spacing w:after="0" w:line="360" w:lineRule="auto"/>
        <w:ind w:firstLine="480" w:firstLineChars="200"/>
        <w:contextualSpacing/>
        <w:rPr>
          <w:color w:val="auto"/>
          <w:sz w:val="24"/>
        </w:rPr>
      </w:pPr>
      <w:r>
        <w:rPr>
          <w:rFonts w:hint="eastAsia"/>
          <w:color w:val="auto"/>
          <w:sz w:val="24"/>
        </w:rPr>
        <w:t>1、工程措施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（1）全面整地</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主体设计绿化施工前对该区域进行整治，整地面积</w:t>
      </w:r>
      <w:r>
        <w:rPr>
          <w:color w:val="auto"/>
          <w:sz w:val="24"/>
        </w:rPr>
        <w:t>1.30hm</w:t>
      </w:r>
      <w:r>
        <w:rPr>
          <w:color w:val="auto"/>
          <w:sz w:val="24"/>
          <w:vertAlign w:val="superscript"/>
        </w:rPr>
        <w:t>2</w:t>
      </w:r>
      <w:r>
        <w:rPr>
          <w:rFonts w:hint="eastAsia"/>
          <w:color w:val="auto"/>
          <w:sz w:val="24"/>
        </w:rPr>
        <w:t>（扣除施工生产区占地）。</w:t>
      </w:r>
    </w:p>
    <w:p>
      <w:pPr>
        <w:pStyle w:val="11"/>
        <w:adjustRightInd w:val="0"/>
        <w:snapToGrid w:val="0"/>
        <w:spacing w:after="0" w:line="360" w:lineRule="auto"/>
        <w:ind w:firstLine="480" w:firstLineChars="200"/>
        <w:contextualSpacing/>
        <w:rPr>
          <w:color w:val="auto"/>
          <w:sz w:val="24"/>
        </w:rPr>
      </w:pPr>
      <w:r>
        <w:rPr>
          <w:rFonts w:hint="eastAsia"/>
          <w:color w:val="auto"/>
          <w:sz w:val="24"/>
        </w:rPr>
        <w:t>2</w:t>
      </w:r>
      <w:r>
        <w:rPr>
          <w:color w:val="auto"/>
          <w:sz w:val="24"/>
        </w:rPr>
        <w:t>、</w:t>
      </w:r>
      <w:r>
        <w:rPr>
          <w:rFonts w:hint="eastAsia"/>
          <w:color w:val="auto"/>
          <w:sz w:val="24"/>
        </w:rPr>
        <w:t>植物措施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（1）铺设草坪</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主体设计对绿化区</w:t>
      </w:r>
      <w:r>
        <w:rPr>
          <w:color w:val="auto"/>
          <w:sz w:val="24"/>
        </w:rPr>
        <w:t>采用</w:t>
      </w:r>
      <w:r>
        <w:rPr>
          <w:rFonts w:hint="eastAsia"/>
          <w:color w:val="auto"/>
          <w:sz w:val="24"/>
        </w:rPr>
        <w:t>铺设草坪</w:t>
      </w:r>
      <w:r>
        <w:rPr>
          <w:color w:val="auto"/>
          <w:sz w:val="24"/>
        </w:rPr>
        <w:t>的方式</w:t>
      </w:r>
      <w:r>
        <w:rPr>
          <w:rFonts w:hint="eastAsia"/>
          <w:color w:val="auto"/>
          <w:sz w:val="24"/>
        </w:rPr>
        <w:t>绿化</w:t>
      </w:r>
      <w:r>
        <w:rPr>
          <w:color w:val="auto"/>
          <w:sz w:val="24"/>
        </w:rPr>
        <w:t>，绿化面积1.60hm</w:t>
      </w:r>
      <w:r>
        <w:rPr>
          <w:color w:val="auto"/>
          <w:sz w:val="24"/>
          <w:vertAlign w:val="superscript"/>
        </w:rPr>
        <w:t>2</w:t>
      </w:r>
      <w:r>
        <w:rPr>
          <w:rFonts w:hint="eastAsia"/>
          <w:color w:val="auto"/>
          <w:sz w:val="24"/>
        </w:rPr>
        <w:t>。</w:t>
      </w:r>
    </w:p>
    <w:p>
      <w:pPr>
        <w:pStyle w:val="11"/>
        <w:adjustRightInd w:val="0"/>
        <w:snapToGrid w:val="0"/>
        <w:spacing w:after="0" w:line="360" w:lineRule="auto"/>
        <w:ind w:firstLine="480" w:firstLineChars="200"/>
        <w:contextualSpacing/>
        <w:rPr>
          <w:color w:val="auto"/>
          <w:sz w:val="24"/>
        </w:rPr>
      </w:pPr>
      <w:r>
        <w:rPr>
          <w:rFonts w:hint="eastAsia"/>
          <w:color w:val="auto"/>
          <w:sz w:val="24"/>
        </w:rPr>
        <w:t>绿化防治</w:t>
      </w:r>
      <w:r>
        <w:rPr>
          <w:color w:val="auto"/>
          <w:sz w:val="24"/>
        </w:rPr>
        <w:t>区措施汇总见表5.3-3。</w:t>
      </w:r>
    </w:p>
    <w:p>
      <w:pPr>
        <w:pStyle w:val="11"/>
        <w:adjustRightInd w:val="0"/>
        <w:snapToGrid w:val="0"/>
        <w:spacing w:after="0" w:line="300" w:lineRule="auto"/>
        <w:contextualSpacing/>
        <w:jc w:val="center"/>
        <w:rPr>
          <w:b/>
          <w:color w:val="auto"/>
          <w:sz w:val="21"/>
          <w:szCs w:val="21"/>
        </w:rPr>
      </w:pPr>
      <w:r>
        <w:rPr>
          <w:b/>
          <w:color w:val="auto"/>
          <w:sz w:val="21"/>
          <w:szCs w:val="21"/>
        </w:rPr>
        <w:t xml:space="preserve">表5.3-3  </w:t>
      </w:r>
      <w:r>
        <w:rPr>
          <w:rFonts w:hint="eastAsia"/>
          <w:b/>
          <w:color w:val="auto"/>
          <w:sz w:val="21"/>
          <w:szCs w:val="21"/>
        </w:rPr>
        <w:t>绿化防治</w:t>
      </w:r>
      <w:r>
        <w:rPr>
          <w:b/>
          <w:color w:val="auto"/>
          <w:sz w:val="21"/>
          <w:szCs w:val="21"/>
        </w:rPr>
        <w:t>区水土保持措施表</w:t>
      </w:r>
    </w:p>
    <w:tbl>
      <w:tblPr>
        <w:tblStyle w:val="25"/>
        <w:tblW w:w="4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085"/>
        <w:gridCol w:w="1207"/>
        <w:gridCol w:w="134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编号</w:t>
            </w:r>
          </w:p>
        </w:tc>
        <w:tc>
          <w:tcPr>
            <w:tcW w:w="1378" w:type="pct"/>
            <w:vAlign w:val="center"/>
          </w:tcPr>
          <w:p>
            <w:pPr>
              <w:snapToGrid w:val="0"/>
              <w:jc w:val="center"/>
              <w:rPr>
                <w:b/>
                <w:bCs/>
                <w:color w:val="auto"/>
                <w:sz w:val="21"/>
                <w:szCs w:val="21"/>
              </w:rPr>
            </w:pPr>
            <w:r>
              <w:rPr>
                <w:b/>
                <w:bCs/>
                <w:color w:val="auto"/>
                <w:sz w:val="21"/>
                <w:szCs w:val="21"/>
              </w:rPr>
              <w:t>工程或费用名称</w:t>
            </w:r>
          </w:p>
        </w:tc>
        <w:tc>
          <w:tcPr>
            <w:tcW w:w="798" w:type="pct"/>
            <w:vAlign w:val="center"/>
          </w:tcPr>
          <w:p>
            <w:pPr>
              <w:snapToGrid w:val="0"/>
              <w:jc w:val="center"/>
              <w:rPr>
                <w:b/>
                <w:bCs/>
                <w:color w:val="auto"/>
                <w:sz w:val="21"/>
                <w:szCs w:val="21"/>
              </w:rPr>
            </w:pPr>
            <w:r>
              <w:rPr>
                <w:b/>
                <w:bCs/>
                <w:color w:val="auto"/>
                <w:sz w:val="21"/>
                <w:szCs w:val="21"/>
              </w:rPr>
              <w:t>单位</w:t>
            </w:r>
          </w:p>
        </w:tc>
        <w:tc>
          <w:tcPr>
            <w:tcW w:w="887" w:type="pct"/>
            <w:vAlign w:val="center"/>
          </w:tcPr>
          <w:p>
            <w:pPr>
              <w:snapToGrid w:val="0"/>
              <w:jc w:val="center"/>
              <w:rPr>
                <w:b/>
                <w:bCs/>
                <w:color w:val="auto"/>
                <w:sz w:val="21"/>
                <w:szCs w:val="21"/>
              </w:rPr>
            </w:pPr>
            <w:r>
              <w:rPr>
                <w:b/>
                <w:bCs/>
                <w:color w:val="auto"/>
                <w:sz w:val="21"/>
                <w:szCs w:val="21"/>
              </w:rPr>
              <w:t>数量</w:t>
            </w:r>
          </w:p>
        </w:tc>
        <w:tc>
          <w:tcPr>
            <w:tcW w:w="1168" w:type="pct"/>
            <w:vAlign w:val="center"/>
          </w:tcPr>
          <w:p>
            <w:pPr>
              <w:snapToGrid w:val="0"/>
              <w:jc w:val="center"/>
              <w:rPr>
                <w:b/>
                <w:bCs/>
                <w:color w:val="auto"/>
                <w:sz w:val="21"/>
                <w:szCs w:val="21"/>
              </w:rPr>
            </w:pPr>
            <w:r>
              <w:rPr>
                <w:rFonts w:hint="eastAsia"/>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一</w:t>
            </w:r>
          </w:p>
        </w:tc>
        <w:tc>
          <w:tcPr>
            <w:tcW w:w="1378" w:type="pct"/>
            <w:vAlign w:val="center"/>
          </w:tcPr>
          <w:p>
            <w:pPr>
              <w:snapToGrid w:val="0"/>
              <w:jc w:val="center"/>
              <w:rPr>
                <w:b/>
                <w:bCs/>
                <w:color w:val="auto"/>
                <w:sz w:val="21"/>
                <w:szCs w:val="21"/>
              </w:rPr>
            </w:pPr>
            <w:r>
              <w:rPr>
                <w:b/>
                <w:bCs/>
                <w:color w:val="auto"/>
                <w:sz w:val="21"/>
                <w:szCs w:val="21"/>
              </w:rPr>
              <w:t>工程措施</w:t>
            </w:r>
          </w:p>
        </w:tc>
        <w:tc>
          <w:tcPr>
            <w:tcW w:w="798" w:type="pct"/>
            <w:vAlign w:val="center"/>
          </w:tcPr>
          <w:p>
            <w:pPr>
              <w:snapToGrid w:val="0"/>
              <w:jc w:val="center"/>
              <w:rPr>
                <w:color w:val="auto"/>
                <w:sz w:val="21"/>
                <w:szCs w:val="21"/>
              </w:rPr>
            </w:pPr>
          </w:p>
        </w:tc>
        <w:tc>
          <w:tcPr>
            <w:tcW w:w="887" w:type="pct"/>
            <w:vAlign w:val="center"/>
          </w:tcPr>
          <w:p>
            <w:pPr>
              <w:snapToGrid w:val="0"/>
              <w:jc w:val="center"/>
              <w:rPr>
                <w:color w:val="auto"/>
                <w:sz w:val="21"/>
                <w:szCs w:val="21"/>
              </w:rPr>
            </w:pPr>
          </w:p>
        </w:tc>
        <w:tc>
          <w:tcPr>
            <w:tcW w:w="1168" w:type="pct"/>
            <w:vAlign w:val="center"/>
          </w:tcPr>
          <w:p>
            <w:pPr>
              <w:snapToGrid w:val="0"/>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color w:val="auto"/>
                <w:sz w:val="21"/>
                <w:szCs w:val="21"/>
              </w:rPr>
              <w:t>1</w:t>
            </w:r>
          </w:p>
        </w:tc>
        <w:tc>
          <w:tcPr>
            <w:tcW w:w="1378" w:type="pct"/>
            <w:vAlign w:val="center"/>
          </w:tcPr>
          <w:p>
            <w:pPr>
              <w:snapToGrid w:val="0"/>
              <w:jc w:val="center"/>
              <w:rPr>
                <w:color w:val="auto"/>
                <w:sz w:val="21"/>
                <w:szCs w:val="21"/>
              </w:rPr>
            </w:pPr>
            <w:r>
              <w:rPr>
                <w:rFonts w:hint="eastAsia"/>
                <w:color w:val="auto"/>
                <w:sz w:val="21"/>
                <w:szCs w:val="21"/>
              </w:rPr>
              <w:t>全面整地◆</w:t>
            </w:r>
          </w:p>
        </w:tc>
        <w:tc>
          <w:tcPr>
            <w:tcW w:w="798" w:type="pct"/>
            <w:vAlign w:val="center"/>
          </w:tcPr>
          <w:p>
            <w:pPr>
              <w:widowControl/>
              <w:jc w:val="center"/>
              <w:textAlignment w:val="center"/>
              <w:rPr>
                <w:bCs/>
                <w:color w:val="auto"/>
                <w:kern w:val="0"/>
                <w:sz w:val="21"/>
                <w:szCs w:val="21"/>
                <w:lang w:bidi="ar"/>
              </w:rPr>
            </w:pPr>
            <w:r>
              <w:rPr>
                <w:color w:val="auto"/>
                <w:sz w:val="21"/>
                <w:szCs w:val="21"/>
              </w:rPr>
              <w:t>hm</w:t>
            </w:r>
            <w:r>
              <w:rPr>
                <w:color w:val="auto"/>
                <w:sz w:val="21"/>
                <w:szCs w:val="21"/>
                <w:vertAlign w:val="superscript"/>
              </w:rPr>
              <w:t>2</w:t>
            </w:r>
          </w:p>
        </w:tc>
        <w:tc>
          <w:tcPr>
            <w:tcW w:w="887" w:type="pct"/>
            <w:vAlign w:val="center"/>
          </w:tcPr>
          <w:p>
            <w:pPr>
              <w:jc w:val="center"/>
              <w:rPr>
                <w:color w:val="auto"/>
                <w:sz w:val="21"/>
                <w:szCs w:val="21"/>
              </w:rPr>
            </w:pPr>
            <w:r>
              <w:rPr>
                <w:color w:val="auto"/>
                <w:sz w:val="21"/>
                <w:szCs w:val="21"/>
              </w:rPr>
              <w:t>1.30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rFonts w:hint="eastAsia"/>
                <w:b/>
                <w:bCs/>
                <w:color w:val="auto"/>
                <w:sz w:val="21"/>
                <w:szCs w:val="21"/>
              </w:rPr>
              <w:t>二</w:t>
            </w:r>
          </w:p>
        </w:tc>
        <w:tc>
          <w:tcPr>
            <w:tcW w:w="1378" w:type="pct"/>
            <w:vAlign w:val="center"/>
          </w:tcPr>
          <w:p>
            <w:pPr>
              <w:snapToGrid w:val="0"/>
              <w:jc w:val="center"/>
              <w:rPr>
                <w:b/>
                <w:bCs/>
                <w:color w:val="auto"/>
                <w:sz w:val="21"/>
                <w:szCs w:val="21"/>
              </w:rPr>
            </w:pPr>
            <w:r>
              <w:rPr>
                <w:rFonts w:hint="eastAsia"/>
                <w:b/>
                <w:bCs/>
                <w:color w:val="auto"/>
                <w:sz w:val="21"/>
                <w:szCs w:val="21"/>
              </w:rPr>
              <w:t>植物措施</w:t>
            </w:r>
          </w:p>
        </w:tc>
        <w:tc>
          <w:tcPr>
            <w:tcW w:w="798" w:type="pct"/>
            <w:vAlign w:val="center"/>
          </w:tcPr>
          <w:p>
            <w:pPr>
              <w:widowControl/>
              <w:jc w:val="center"/>
              <w:textAlignment w:val="center"/>
              <w:rPr>
                <w:color w:val="auto"/>
                <w:sz w:val="21"/>
                <w:szCs w:val="21"/>
              </w:rPr>
            </w:pPr>
          </w:p>
        </w:tc>
        <w:tc>
          <w:tcPr>
            <w:tcW w:w="887" w:type="pct"/>
            <w:vAlign w:val="center"/>
          </w:tcPr>
          <w:p>
            <w:pPr>
              <w:jc w:val="center"/>
              <w:rPr>
                <w:color w:val="auto"/>
                <w:sz w:val="21"/>
                <w:szCs w:val="21"/>
              </w:rPr>
            </w:pPr>
          </w:p>
        </w:tc>
        <w:tc>
          <w:tcPr>
            <w:tcW w:w="1168" w:type="pct"/>
            <w:vAlign w:val="center"/>
          </w:tcPr>
          <w:p>
            <w:pPr>
              <w:widowControl/>
              <w:jc w:val="center"/>
              <w:textAlignment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rFonts w:hint="eastAsia"/>
                <w:color w:val="auto"/>
                <w:sz w:val="21"/>
                <w:szCs w:val="21"/>
              </w:rPr>
              <w:t>2</w:t>
            </w:r>
          </w:p>
        </w:tc>
        <w:tc>
          <w:tcPr>
            <w:tcW w:w="1378" w:type="pct"/>
            <w:vAlign w:val="center"/>
          </w:tcPr>
          <w:p>
            <w:pPr>
              <w:snapToGrid w:val="0"/>
              <w:jc w:val="center"/>
              <w:rPr>
                <w:color w:val="auto"/>
                <w:sz w:val="21"/>
                <w:szCs w:val="21"/>
              </w:rPr>
            </w:pPr>
            <w:r>
              <w:rPr>
                <w:rFonts w:hint="eastAsia"/>
                <w:color w:val="auto"/>
                <w:sz w:val="21"/>
                <w:szCs w:val="21"/>
              </w:rPr>
              <w:t>铺设草坪◆</w:t>
            </w:r>
          </w:p>
        </w:tc>
        <w:tc>
          <w:tcPr>
            <w:tcW w:w="798" w:type="pct"/>
            <w:vAlign w:val="center"/>
          </w:tcPr>
          <w:p>
            <w:pPr>
              <w:widowControl/>
              <w:jc w:val="center"/>
              <w:textAlignment w:val="center"/>
              <w:rPr>
                <w:bCs/>
                <w:color w:val="auto"/>
                <w:kern w:val="0"/>
                <w:sz w:val="21"/>
                <w:szCs w:val="21"/>
                <w:lang w:bidi="ar"/>
              </w:rPr>
            </w:pPr>
            <w:r>
              <w:rPr>
                <w:color w:val="auto"/>
                <w:sz w:val="21"/>
                <w:szCs w:val="21"/>
              </w:rPr>
              <w:t>hm</w:t>
            </w:r>
            <w:r>
              <w:rPr>
                <w:color w:val="auto"/>
                <w:sz w:val="21"/>
                <w:szCs w:val="21"/>
                <w:vertAlign w:val="superscript"/>
              </w:rPr>
              <w:t>2</w:t>
            </w:r>
          </w:p>
        </w:tc>
        <w:tc>
          <w:tcPr>
            <w:tcW w:w="887" w:type="pct"/>
            <w:vAlign w:val="center"/>
          </w:tcPr>
          <w:p>
            <w:pPr>
              <w:jc w:val="center"/>
              <w:rPr>
                <w:color w:val="auto"/>
                <w:sz w:val="21"/>
                <w:szCs w:val="21"/>
              </w:rPr>
            </w:pPr>
            <w:r>
              <w:rPr>
                <w:color w:val="auto"/>
                <w:sz w:val="21"/>
                <w:szCs w:val="21"/>
              </w:rPr>
              <w:t>1.60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未实施</w:t>
            </w:r>
          </w:p>
        </w:tc>
      </w:tr>
    </w:tbl>
    <w:p>
      <w:pPr>
        <w:pStyle w:val="11"/>
        <w:adjustRightInd w:val="0"/>
        <w:snapToGrid w:val="0"/>
        <w:spacing w:after="0" w:line="360" w:lineRule="auto"/>
        <w:ind w:firstLine="420" w:firstLineChars="200"/>
        <w:contextualSpacing/>
        <w:rPr>
          <w:color w:val="auto"/>
          <w:sz w:val="24"/>
        </w:rPr>
      </w:pPr>
      <w:r>
        <w:rPr>
          <w:rFonts w:hint="eastAsia"/>
          <w:color w:val="auto"/>
          <w:sz w:val="21"/>
          <w:szCs w:val="21"/>
        </w:rPr>
        <w:t>注：“◆”表示主体已列措施。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四</w:t>
      </w:r>
      <w:r>
        <w:rPr>
          <w:color w:val="auto"/>
          <w:sz w:val="24"/>
        </w:rPr>
        <w:t>、</w:t>
      </w:r>
      <w:r>
        <w:rPr>
          <w:rFonts w:hint="eastAsia"/>
          <w:color w:val="auto"/>
          <w:sz w:val="24"/>
        </w:rPr>
        <w:t>工业园区管网</w:t>
      </w:r>
      <w:r>
        <w:rPr>
          <w:color w:val="auto"/>
          <w:sz w:val="24"/>
        </w:rPr>
        <w:t>防治区</w:t>
      </w:r>
    </w:p>
    <w:p>
      <w:pPr>
        <w:pStyle w:val="11"/>
        <w:adjustRightInd w:val="0"/>
        <w:snapToGrid w:val="0"/>
        <w:spacing w:after="0" w:line="360" w:lineRule="auto"/>
        <w:ind w:firstLine="480" w:firstLineChars="200"/>
        <w:contextualSpacing/>
        <w:rPr>
          <w:color w:val="auto"/>
          <w:sz w:val="24"/>
        </w:rPr>
      </w:pPr>
      <w:r>
        <w:rPr>
          <w:rFonts w:hint="eastAsia"/>
          <w:color w:val="auto"/>
          <w:sz w:val="24"/>
        </w:rPr>
        <w:t>1、工程措施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（1）全面整地</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主体设计施工结束后对该区域进行整治，整地面积</w:t>
      </w:r>
      <w:r>
        <w:rPr>
          <w:color w:val="auto"/>
          <w:sz w:val="24"/>
        </w:rPr>
        <w:t>1.19hm</w:t>
      </w:r>
      <w:r>
        <w:rPr>
          <w:color w:val="auto"/>
          <w:sz w:val="24"/>
          <w:vertAlign w:val="superscript"/>
        </w:rPr>
        <w:t>2</w:t>
      </w:r>
      <w:r>
        <w:rPr>
          <w:rFonts w:hint="eastAsia"/>
          <w:color w:val="auto"/>
          <w:sz w:val="24"/>
        </w:rPr>
        <w:t>。</w:t>
      </w:r>
    </w:p>
    <w:p>
      <w:pPr>
        <w:pStyle w:val="11"/>
        <w:adjustRightInd w:val="0"/>
        <w:snapToGrid w:val="0"/>
        <w:spacing w:after="0" w:line="360" w:lineRule="auto"/>
        <w:ind w:firstLine="480" w:firstLineChars="200"/>
        <w:contextualSpacing/>
        <w:rPr>
          <w:color w:val="auto"/>
          <w:sz w:val="24"/>
        </w:rPr>
      </w:pPr>
      <w:r>
        <w:rPr>
          <w:rFonts w:hint="eastAsia"/>
          <w:color w:val="auto"/>
          <w:sz w:val="24"/>
        </w:rPr>
        <w:t>2</w:t>
      </w:r>
      <w:r>
        <w:rPr>
          <w:color w:val="auto"/>
          <w:sz w:val="24"/>
        </w:rPr>
        <w:t>、</w:t>
      </w:r>
      <w:r>
        <w:rPr>
          <w:rFonts w:hint="eastAsia"/>
          <w:color w:val="auto"/>
          <w:sz w:val="24"/>
        </w:rPr>
        <w:t>植物措施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（1）撒播草籽</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主体设计对施工扰动进行撒播草籽绿化</w:t>
      </w:r>
      <w:r>
        <w:rPr>
          <w:color w:val="auto"/>
          <w:sz w:val="24"/>
        </w:rPr>
        <w:t>，草种用量80kg/hm</w:t>
      </w:r>
      <w:r>
        <w:rPr>
          <w:color w:val="auto"/>
          <w:sz w:val="24"/>
          <w:vertAlign w:val="superscript"/>
        </w:rPr>
        <w:t>2</w:t>
      </w:r>
      <w:r>
        <w:rPr>
          <w:rFonts w:hint="eastAsia"/>
          <w:color w:val="auto"/>
          <w:sz w:val="24"/>
        </w:rPr>
        <w:t>，撒播</w:t>
      </w:r>
      <w:r>
        <w:rPr>
          <w:color w:val="auto"/>
          <w:sz w:val="24"/>
        </w:rPr>
        <w:t>面积1.19hm</w:t>
      </w:r>
      <w:r>
        <w:rPr>
          <w:color w:val="auto"/>
          <w:sz w:val="24"/>
          <w:vertAlign w:val="superscript"/>
        </w:rPr>
        <w:t>2</w:t>
      </w:r>
      <w:r>
        <w:rPr>
          <w:rFonts w:hint="eastAsia"/>
          <w:color w:val="auto"/>
          <w:sz w:val="24"/>
        </w:rPr>
        <w:t>。</w:t>
      </w:r>
    </w:p>
    <w:p>
      <w:pPr>
        <w:pStyle w:val="11"/>
        <w:adjustRightInd w:val="0"/>
        <w:snapToGrid w:val="0"/>
        <w:spacing w:after="0" w:line="360" w:lineRule="auto"/>
        <w:ind w:firstLine="480" w:firstLineChars="200"/>
        <w:contextualSpacing/>
        <w:rPr>
          <w:color w:val="auto"/>
          <w:sz w:val="24"/>
        </w:rPr>
      </w:pPr>
      <w:r>
        <w:rPr>
          <w:color w:val="auto"/>
          <w:sz w:val="24"/>
        </w:rPr>
        <w:t>3</w:t>
      </w:r>
      <w:r>
        <w:rPr>
          <w:rFonts w:hint="eastAsia"/>
          <w:color w:val="auto"/>
          <w:sz w:val="24"/>
        </w:rPr>
        <w:t>、临时措施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（1）临时苫盖及拆除</w:t>
      </w:r>
    </w:p>
    <w:p>
      <w:pPr>
        <w:pStyle w:val="11"/>
        <w:adjustRightInd w:val="0"/>
        <w:snapToGrid w:val="0"/>
        <w:spacing w:after="0" w:line="360" w:lineRule="auto"/>
        <w:ind w:firstLine="480" w:firstLineChars="200"/>
        <w:contextualSpacing/>
        <w:rPr>
          <w:color w:val="auto"/>
          <w:sz w:val="24"/>
        </w:rPr>
      </w:pPr>
      <w:r>
        <w:rPr>
          <w:rFonts w:hint="eastAsia"/>
          <w:color w:val="auto"/>
          <w:sz w:val="24"/>
        </w:rPr>
        <w:t>主体设计管沟土方沿一侧堆放，施工期间进行苫盖，苫盖面积</w:t>
      </w:r>
      <w:r>
        <w:rPr>
          <w:color w:val="auto"/>
          <w:sz w:val="24"/>
        </w:rPr>
        <w:t>38600m</w:t>
      </w:r>
      <w:r>
        <w:rPr>
          <w:color w:val="auto"/>
          <w:sz w:val="24"/>
          <w:vertAlign w:val="superscript"/>
        </w:rPr>
        <w:t>2</w:t>
      </w:r>
      <w:r>
        <w:rPr>
          <w:color w:val="auto"/>
          <w:sz w:val="24"/>
        </w:rPr>
        <w:t>。</w:t>
      </w:r>
    </w:p>
    <w:p>
      <w:pPr>
        <w:pStyle w:val="11"/>
        <w:adjustRightInd w:val="0"/>
        <w:snapToGrid w:val="0"/>
        <w:spacing w:after="0" w:line="360" w:lineRule="auto"/>
        <w:ind w:firstLine="480" w:firstLineChars="200"/>
        <w:contextualSpacing/>
        <w:rPr>
          <w:color w:val="auto"/>
          <w:sz w:val="24"/>
        </w:rPr>
      </w:pPr>
      <w:r>
        <w:rPr>
          <w:rFonts w:hint="eastAsia"/>
          <w:color w:val="auto"/>
          <w:sz w:val="24"/>
        </w:rPr>
        <w:t>工业园区管网防治</w:t>
      </w:r>
      <w:r>
        <w:rPr>
          <w:color w:val="auto"/>
          <w:sz w:val="24"/>
        </w:rPr>
        <w:t>区措施汇总见表5.3-4。</w:t>
      </w:r>
    </w:p>
    <w:p>
      <w:pPr>
        <w:pStyle w:val="11"/>
        <w:adjustRightInd w:val="0"/>
        <w:snapToGrid w:val="0"/>
        <w:spacing w:after="0" w:line="300" w:lineRule="auto"/>
        <w:contextualSpacing/>
        <w:jc w:val="center"/>
        <w:rPr>
          <w:b/>
          <w:color w:val="auto"/>
          <w:sz w:val="21"/>
          <w:szCs w:val="21"/>
        </w:rPr>
      </w:pPr>
      <w:r>
        <w:rPr>
          <w:b/>
          <w:color w:val="auto"/>
          <w:sz w:val="21"/>
          <w:szCs w:val="21"/>
        </w:rPr>
        <w:t xml:space="preserve">表5.3-4  </w:t>
      </w:r>
      <w:r>
        <w:rPr>
          <w:rFonts w:hint="eastAsia"/>
          <w:b/>
          <w:color w:val="auto"/>
          <w:sz w:val="21"/>
          <w:szCs w:val="21"/>
        </w:rPr>
        <w:t>工业园区管网防治</w:t>
      </w:r>
      <w:r>
        <w:rPr>
          <w:b/>
          <w:color w:val="auto"/>
          <w:sz w:val="21"/>
          <w:szCs w:val="21"/>
        </w:rPr>
        <w:t>区水土保持措施表</w:t>
      </w:r>
    </w:p>
    <w:tbl>
      <w:tblPr>
        <w:tblStyle w:val="25"/>
        <w:tblW w:w="4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085"/>
        <w:gridCol w:w="1207"/>
        <w:gridCol w:w="134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编号</w:t>
            </w:r>
          </w:p>
        </w:tc>
        <w:tc>
          <w:tcPr>
            <w:tcW w:w="1378" w:type="pct"/>
            <w:vAlign w:val="center"/>
          </w:tcPr>
          <w:p>
            <w:pPr>
              <w:snapToGrid w:val="0"/>
              <w:jc w:val="center"/>
              <w:rPr>
                <w:b/>
                <w:bCs/>
                <w:color w:val="auto"/>
                <w:sz w:val="21"/>
                <w:szCs w:val="21"/>
              </w:rPr>
            </w:pPr>
            <w:r>
              <w:rPr>
                <w:b/>
                <w:bCs/>
                <w:color w:val="auto"/>
                <w:sz w:val="21"/>
                <w:szCs w:val="21"/>
              </w:rPr>
              <w:t>工程或费用名称</w:t>
            </w:r>
          </w:p>
        </w:tc>
        <w:tc>
          <w:tcPr>
            <w:tcW w:w="798" w:type="pct"/>
            <w:vAlign w:val="center"/>
          </w:tcPr>
          <w:p>
            <w:pPr>
              <w:snapToGrid w:val="0"/>
              <w:jc w:val="center"/>
              <w:rPr>
                <w:b/>
                <w:bCs/>
                <w:color w:val="auto"/>
                <w:sz w:val="21"/>
                <w:szCs w:val="21"/>
              </w:rPr>
            </w:pPr>
            <w:r>
              <w:rPr>
                <w:b/>
                <w:bCs/>
                <w:color w:val="auto"/>
                <w:sz w:val="21"/>
                <w:szCs w:val="21"/>
              </w:rPr>
              <w:t>单位</w:t>
            </w:r>
          </w:p>
        </w:tc>
        <w:tc>
          <w:tcPr>
            <w:tcW w:w="887" w:type="pct"/>
            <w:vAlign w:val="center"/>
          </w:tcPr>
          <w:p>
            <w:pPr>
              <w:snapToGrid w:val="0"/>
              <w:jc w:val="center"/>
              <w:rPr>
                <w:b/>
                <w:bCs/>
                <w:color w:val="auto"/>
                <w:sz w:val="21"/>
                <w:szCs w:val="21"/>
              </w:rPr>
            </w:pPr>
            <w:r>
              <w:rPr>
                <w:b/>
                <w:bCs/>
                <w:color w:val="auto"/>
                <w:sz w:val="21"/>
                <w:szCs w:val="21"/>
              </w:rPr>
              <w:t>数量</w:t>
            </w:r>
          </w:p>
        </w:tc>
        <w:tc>
          <w:tcPr>
            <w:tcW w:w="1168" w:type="pct"/>
            <w:vAlign w:val="center"/>
          </w:tcPr>
          <w:p>
            <w:pPr>
              <w:snapToGrid w:val="0"/>
              <w:jc w:val="center"/>
              <w:rPr>
                <w:b/>
                <w:bCs/>
                <w:color w:val="auto"/>
                <w:sz w:val="21"/>
                <w:szCs w:val="21"/>
              </w:rPr>
            </w:pPr>
            <w:r>
              <w:rPr>
                <w:rFonts w:hint="eastAsia"/>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一</w:t>
            </w:r>
          </w:p>
        </w:tc>
        <w:tc>
          <w:tcPr>
            <w:tcW w:w="1378" w:type="pct"/>
            <w:vAlign w:val="center"/>
          </w:tcPr>
          <w:p>
            <w:pPr>
              <w:snapToGrid w:val="0"/>
              <w:jc w:val="center"/>
              <w:rPr>
                <w:b/>
                <w:bCs/>
                <w:color w:val="auto"/>
                <w:sz w:val="21"/>
                <w:szCs w:val="21"/>
              </w:rPr>
            </w:pPr>
            <w:r>
              <w:rPr>
                <w:b/>
                <w:bCs/>
                <w:color w:val="auto"/>
                <w:sz w:val="21"/>
                <w:szCs w:val="21"/>
              </w:rPr>
              <w:t>工程措施</w:t>
            </w:r>
          </w:p>
        </w:tc>
        <w:tc>
          <w:tcPr>
            <w:tcW w:w="798" w:type="pct"/>
            <w:vAlign w:val="center"/>
          </w:tcPr>
          <w:p>
            <w:pPr>
              <w:snapToGrid w:val="0"/>
              <w:jc w:val="center"/>
              <w:rPr>
                <w:color w:val="auto"/>
                <w:sz w:val="21"/>
                <w:szCs w:val="21"/>
              </w:rPr>
            </w:pPr>
          </w:p>
        </w:tc>
        <w:tc>
          <w:tcPr>
            <w:tcW w:w="887" w:type="pct"/>
            <w:vAlign w:val="center"/>
          </w:tcPr>
          <w:p>
            <w:pPr>
              <w:snapToGrid w:val="0"/>
              <w:jc w:val="center"/>
              <w:rPr>
                <w:color w:val="auto"/>
                <w:sz w:val="21"/>
                <w:szCs w:val="21"/>
              </w:rPr>
            </w:pPr>
          </w:p>
        </w:tc>
        <w:tc>
          <w:tcPr>
            <w:tcW w:w="1168" w:type="pct"/>
            <w:vAlign w:val="center"/>
          </w:tcPr>
          <w:p>
            <w:pPr>
              <w:snapToGrid w:val="0"/>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color w:val="auto"/>
                <w:sz w:val="21"/>
                <w:szCs w:val="21"/>
              </w:rPr>
              <w:t>1</w:t>
            </w:r>
          </w:p>
        </w:tc>
        <w:tc>
          <w:tcPr>
            <w:tcW w:w="1378" w:type="pct"/>
            <w:vAlign w:val="center"/>
          </w:tcPr>
          <w:p>
            <w:pPr>
              <w:snapToGrid w:val="0"/>
              <w:jc w:val="center"/>
              <w:rPr>
                <w:color w:val="auto"/>
                <w:sz w:val="21"/>
                <w:szCs w:val="21"/>
              </w:rPr>
            </w:pPr>
            <w:r>
              <w:rPr>
                <w:rFonts w:hint="eastAsia"/>
                <w:color w:val="auto"/>
                <w:sz w:val="21"/>
                <w:szCs w:val="21"/>
              </w:rPr>
              <w:t>全面整地◆</w:t>
            </w:r>
          </w:p>
        </w:tc>
        <w:tc>
          <w:tcPr>
            <w:tcW w:w="798" w:type="pct"/>
            <w:vAlign w:val="center"/>
          </w:tcPr>
          <w:p>
            <w:pPr>
              <w:widowControl/>
              <w:jc w:val="center"/>
              <w:textAlignment w:val="center"/>
              <w:rPr>
                <w:bCs/>
                <w:color w:val="auto"/>
                <w:kern w:val="0"/>
                <w:sz w:val="21"/>
                <w:szCs w:val="21"/>
                <w:lang w:bidi="ar"/>
              </w:rPr>
            </w:pPr>
            <w:r>
              <w:rPr>
                <w:color w:val="auto"/>
                <w:sz w:val="21"/>
                <w:szCs w:val="21"/>
              </w:rPr>
              <w:t>hm</w:t>
            </w:r>
            <w:r>
              <w:rPr>
                <w:color w:val="auto"/>
                <w:sz w:val="21"/>
                <w:szCs w:val="21"/>
                <w:vertAlign w:val="superscript"/>
              </w:rPr>
              <w:t>2</w:t>
            </w:r>
          </w:p>
        </w:tc>
        <w:tc>
          <w:tcPr>
            <w:tcW w:w="887" w:type="pct"/>
            <w:vAlign w:val="center"/>
          </w:tcPr>
          <w:p>
            <w:pPr>
              <w:jc w:val="center"/>
              <w:rPr>
                <w:color w:val="auto"/>
                <w:sz w:val="21"/>
                <w:szCs w:val="21"/>
              </w:rPr>
            </w:pPr>
            <w:r>
              <w:rPr>
                <w:color w:val="auto"/>
                <w:sz w:val="21"/>
                <w:szCs w:val="21"/>
              </w:rPr>
              <w:t>1.19</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rFonts w:hint="eastAsia"/>
                <w:b/>
                <w:bCs/>
                <w:color w:val="auto"/>
                <w:sz w:val="21"/>
                <w:szCs w:val="21"/>
              </w:rPr>
              <w:t>二</w:t>
            </w:r>
          </w:p>
        </w:tc>
        <w:tc>
          <w:tcPr>
            <w:tcW w:w="1378" w:type="pct"/>
            <w:vAlign w:val="center"/>
          </w:tcPr>
          <w:p>
            <w:pPr>
              <w:snapToGrid w:val="0"/>
              <w:jc w:val="center"/>
              <w:rPr>
                <w:b/>
                <w:bCs/>
                <w:color w:val="auto"/>
                <w:sz w:val="21"/>
                <w:szCs w:val="21"/>
              </w:rPr>
            </w:pPr>
            <w:r>
              <w:rPr>
                <w:rFonts w:hint="eastAsia"/>
                <w:b/>
                <w:bCs/>
                <w:color w:val="auto"/>
                <w:sz w:val="21"/>
                <w:szCs w:val="21"/>
              </w:rPr>
              <w:t>植物措施</w:t>
            </w:r>
          </w:p>
        </w:tc>
        <w:tc>
          <w:tcPr>
            <w:tcW w:w="798" w:type="pct"/>
            <w:vAlign w:val="center"/>
          </w:tcPr>
          <w:p>
            <w:pPr>
              <w:widowControl/>
              <w:jc w:val="center"/>
              <w:textAlignment w:val="center"/>
              <w:rPr>
                <w:color w:val="auto"/>
                <w:sz w:val="21"/>
                <w:szCs w:val="21"/>
              </w:rPr>
            </w:pPr>
          </w:p>
        </w:tc>
        <w:tc>
          <w:tcPr>
            <w:tcW w:w="887" w:type="pct"/>
            <w:vAlign w:val="center"/>
          </w:tcPr>
          <w:p>
            <w:pPr>
              <w:jc w:val="center"/>
              <w:rPr>
                <w:color w:val="auto"/>
                <w:sz w:val="21"/>
                <w:szCs w:val="21"/>
              </w:rPr>
            </w:pPr>
          </w:p>
        </w:tc>
        <w:tc>
          <w:tcPr>
            <w:tcW w:w="1168" w:type="pct"/>
            <w:vAlign w:val="center"/>
          </w:tcPr>
          <w:p>
            <w:pPr>
              <w:widowControl/>
              <w:jc w:val="center"/>
              <w:textAlignment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color w:val="auto"/>
                <w:sz w:val="21"/>
                <w:szCs w:val="21"/>
              </w:rPr>
              <w:t>1</w:t>
            </w:r>
          </w:p>
        </w:tc>
        <w:tc>
          <w:tcPr>
            <w:tcW w:w="1378" w:type="pct"/>
            <w:vAlign w:val="center"/>
          </w:tcPr>
          <w:p>
            <w:pPr>
              <w:snapToGrid w:val="0"/>
              <w:jc w:val="center"/>
              <w:rPr>
                <w:color w:val="auto"/>
                <w:sz w:val="21"/>
                <w:szCs w:val="21"/>
              </w:rPr>
            </w:pPr>
            <w:r>
              <w:rPr>
                <w:rFonts w:hint="eastAsia"/>
                <w:color w:val="auto"/>
                <w:sz w:val="21"/>
                <w:szCs w:val="21"/>
              </w:rPr>
              <w:t>撒播草籽◆</w:t>
            </w:r>
          </w:p>
        </w:tc>
        <w:tc>
          <w:tcPr>
            <w:tcW w:w="798" w:type="pct"/>
            <w:vAlign w:val="center"/>
          </w:tcPr>
          <w:p>
            <w:pPr>
              <w:widowControl/>
              <w:jc w:val="center"/>
              <w:textAlignment w:val="center"/>
              <w:rPr>
                <w:bCs/>
                <w:color w:val="auto"/>
                <w:kern w:val="0"/>
                <w:sz w:val="21"/>
                <w:szCs w:val="21"/>
                <w:lang w:bidi="ar"/>
              </w:rPr>
            </w:pPr>
            <w:r>
              <w:rPr>
                <w:color w:val="auto"/>
                <w:sz w:val="21"/>
                <w:szCs w:val="21"/>
              </w:rPr>
              <w:t>hm</w:t>
            </w:r>
            <w:r>
              <w:rPr>
                <w:color w:val="auto"/>
                <w:sz w:val="21"/>
                <w:szCs w:val="21"/>
                <w:vertAlign w:val="superscript"/>
              </w:rPr>
              <w:t>2</w:t>
            </w:r>
          </w:p>
        </w:tc>
        <w:tc>
          <w:tcPr>
            <w:tcW w:w="887" w:type="pct"/>
            <w:vAlign w:val="center"/>
          </w:tcPr>
          <w:p>
            <w:pPr>
              <w:jc w:val="center"/>
              <w:rPr>
                <w:color w:val="auto"/>
                <w:sz w:val="21"/>
                <w:szCs w:val="21"/>
              </w:rPr>
            </w:pPr>
            <w:r>
              <w:rPr>
                <w:color w:val="auto"/>
                <w:sz w:val="21"/>
                <w:szCs w:val="21"/>
              </w:rPr>
              <w:t>1.19</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rFonts w:hint="eastAsia"/>
                <w:b/>
                <w:bCs/>
                <w:color w:val="auto"/>
                <w:sz w:val="21"/>
                <w:szCs w:val="21"/>
              </w:rPr>
              <w:t>三</w:t>
            </w:r>
          </w:p>
        </w:tc>
        <w:tc>
          <w:tcPr>
            <w:tcW w:w="1378" w:type="pct"/>
            <w:vAlign w:val="center"/>
          </w:tcPr>
          <w:p>
            <w:pPr>
              <w:snapToGrid w:val="0"/>
              <w:jc w:val="center"/>
              <w:rPr>
                <w:b/>
                <w:bCs/>
                <w:color w:val="auto"/>
                <w:sz w:val="21"/>
                <w:szCs w:val="21"/>
              </w:rPr>
            </w:pPr>
            <w:r>
              <w:rPr>
                <w:rFonts w:hint="eastAsia"/>
                <w:b/>
                <w:bCs/>
                <w:color w:val="auto"/>
                <w:sz w:val="21"/>
                <w:szCs w:val="21"/>
              </w:rPr>
              <w:t>临时措施</w:t>
            </w:r>
          </w:p>
        </w:tc>
        <w:tc>
          <w:tcPr>
            <w:tcW w:w="798" w:type="pct"/>
            <w:vAlign w:val="center"/>
          </w:tcPr>
          <w:p>
            <w:pPr>
              <w:widowControl/>
              <w:jc w:val="center"/>
              <w:textAlignment w:val="center"/>
              <w:rPr>
                <w:color w:val="auto"/>
                <w:sz w:val="21"/>
                <w:szCs w:val="21"/>
              </w:rPr>
            </w:pPr>
          </w:p>
        </w:tc>
        <w:tc>
          <w:tcPr>
            <w:tcW w:w="887" w:type="pct"/>
            <w:vAlign w:val="center"/>
          </w:tcPr>
          <w:p>
            <w:pPr>
              <w:jc w:val="center"/>
              <w:rPr>
                <w:color w:val="auto"/>
                <w:sz w:val="21"/>
                <w:szCs w:val="21"/>
              </w:rPr>
            </w:pPr>
          </w:p>
        </w:tc>
        <w:tc>
          <w:tcPr>
            <w:tcW w:w="1168" w:type="pct"/>
            <w:vAlign w:val="center"/>
          </w:tcPr>
          <w:p>
            <w:pPr>
              <w:widowControl/>
              <w:jc w:val="center"/>
              <w:textAlignment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color w:val="auto"/>
                <w:sz w:val="21"/>
                <w:szCs w:val="21"/>
              </w:rPr>
            </w:pPr>
            <w:r>
              <w:rPr>
                <w:rFonts w:hint="eastAsia"/>
                <w:color w:val="auto"/>
                <w:sz w:val="21"/>
                <w:szCs w:val="21"/>
              </w:rPr>
              <w:t>1</w:t>
            </w:r>
          </w:p>
        </w:tc>
        <w:tc>
          <w:tcPr>
            <w:tcW w:w="1378" w:type="pct"/>
            <w:vAlign w:val="center"/>
          </w:tcPr>
          <w:p>
            <w:pPr>
              <w:snapToGrid w:val="0"/>
              <w:jc w:val="center"/>
              <w:rPr>
                <w:color w:val="auto"/>
                <w:sz w:val="21"/>
                <w:szCs w:val="21"/>
              </w:rPr>
            </w:pPr>
            <w:r>
              <w:rPr>
                <w:rFonts w:hint="eastAsia"/>
                <w:color w:val="auto"/>
                <w:sz w:val="21"/>
                <w:szCs w:val="21"/>
              </w:rPr>
              <w:t>临时苫盖及拆除◆</w:t>
            </w:r>
          </w:p>
        </w:tc>
        <w:tc>
          <w:tcPr>
            <w:tcW w:w="798" w:type="pct"/>
            <w:vAlign w:val="center"/>
          </w:tcPr>
          <w:p>
            <w:pPr>
              <w:widowControl/>
              <w:jc w:val="center"/>
              <w:textAlignment w:val="center"/>
              <w:rPr>
                <w:color w:val="auto"/>
                <w:sz w:val="21"/>
                <w:szCs w:val="21"/>
              </w:rPr>
            </w:pPr>
            <w:r>
              <w:rPr>
                <w:bCs/>
                <w:color w:val="auto"/>
                <w:kern w:val="0"/>
                <w:sz w:val="21"/>
                <w:szCs w:val="21"/>
                <w:lang w:bidi="ar"/>
              </w:rPr>
              <w:t>m</w:t>
            </w:r>
            <w:r>
              <w:rPr>
                <w:bCs/>
                <w:color w:val="auto"/>
                <w:kern w:val="0"/>
                <w:sz w:val="21"/>
                <w:szCs w:val="21"/>
                <w:vertAlign w:val="superscript"/>
                <w:lang w:bidi="ar"/>
              </w:rPr>
              <w:t>2</w:t>
            </w:r>
          </w:p>
        </w:tc>
        <w:tc>
          <w:tcPr>
            <w:tcW w:w="887" w:type="pct"/>
            <w:vAlign w:val="center"/>
          </w:tcPr>
          <w:p>
            <w:pPr>
              <w:jc w:val="center"/>
              <w:rPr>
                <w:color w:val="auto"/>
                <w:sz w:val="21"/>
                <w:szCs w:val="21"/>
              </w:rPr>
            </w:pPr>
            <w:r>
              <w:rPr>
                <w:color w:val="auto"/>
                <w:sz w:val="21"/>
                <w:szCs w:val="21"/>
              </w:rPr>
              <w:t>38600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已实施</w:t>
            </w:r>
          </w:p>
        </w:tc>
      </w:tr>
    </w:tbl>
    <w:p>
      <w:pPr>
        <w:pStyle w:val="11"/>
        <w:adjustRightInd w:val="0"/>
        <w:snapToGrid w:val="0"/>
        <w:spacing w:after="0" w:line="360" w:lineRule="auto"/>
        <w:ind w:firstLine="420" w:firstLineChars="200"/>
        <w:contextualSpacing/>
        <w:rPr>
          <w:color w:val="auto"/>
          <w:sz w:val="24"/>
        </w:rPr>
      </w:pPr>
      <w:r>
        <w:rPr>
          <w:rFonts w:hint="eastAsia"/>
          <w:color w:val="auto"/>
          <w:sz w:val="21"/>
          <w:szCs w:val="21"/>
        </w:rPr>
        <w:t>注：“◆”表示主体已列措施。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五、施工生产区</w:t>
      </w:r>
    </w:p>
    <w:p>
      <w:pPr>
        <w:pStyle w:val="11"/>
        <w:adjustRightInd w:val="0"/>
        <w:snapToGrid w:val="0"/>
        <w:spacing w:after="0" w:line="360" w:lineRule="auto"/>
        <w:ind w:firstLine="480" w:firstLineChars="200"/>
        <w:contextualSpacing/>
        <w:rPr>
          <w:color w:val="auto"/>
          <w:sz w:val="24"/>
        </w:rPr>
      </w:pPr>
      <w:r>
        <w:rPr>
          <w:rFonts w:hint="eastAsia"/>
          <w:color w:val="auto"/>
          <w:sz w:val="24"/>
        </w:rPr>
        <w:t>1、工程措施</w:t>
      </w:r>
    </w:p>
    <w:p>
      <w:pPr>
        <w:pStyle w:val="11"/>
        <w:adjustRightInd w:val="0"/>
        <w:snapToGrid w:val="0"/>
        <w:spacing w:after="0" w:line="360" w:lineRule="auto"/>
        <w:ind w:firstLine="480" w:firstLineChars="200"/>
        <w:contextualSpacing/>
        <w:rPr>
          <w:color w:val="auto"/>
          <w:sz w:val="24"/>
        </w:rPr>
      </w:pPr>
      <w:r>
        <w:rPr>
          <w:rFonts w:hint="eastAsia"/>
          <w:color w:val="auto"/>
          <w:sz w:val="24"/>
        </w:rPr>
        <w:t>（1）全面整地</w:t>
      </w:r>
    </w:p>
    <w:p>
      <w:pPr>
        <w:pStyle w:val="11"/>
        <w:adjustRightInd w:val="0"/>
        <w:snapToGrid w:val="0"/>
        <w:spacing w:after="0" w:line="360" w:lineRule="auto"/>
        <w:ind w:firstLine="480" w:firstLineChars="200"/>
        <w:contextualSpacing/>
        <w:rPr>
          <w:color w:val="auto"/>
          <w:sz w:val="24"/>
        </w:rPr>
      </w:pPr>
      <w:r>
        <w:rPr>
          <w:rFonts w:hint="eastAsia"/>
          <w:color w:val="auto"/>
          <w:sz w:val="24"/>
        </w:rPr>
        <w:t>该区域临时占用道路地面硬化区和绿化区，主体设计施工结束后对该区域进行整治，恢复成原有规划内容，整地面积</w:t>
      </w:r>
      <w:r>
        <w:rPr>
          <w:color w:val="auto"/>
          <w:sz w:val="24"/>
        </w:rPr>
        <w:t>0.10hm</w:t>
      </w:r>
      <w:r>
        <w:rPr>
          <w:color w:val="auto"/>
          <w:sz w:val="24"/>
          <w:vertAlign w:val="superscript"/>
        </w:rPr>
        <w:t>2</w:t>
      </w:r>
      <w:r>
        <w:rPr>
          <w:rFonts w:hint="eastAsia"/>
          <w:color w:val="auto"/>
          <w:sz w:val="24"/>
        </w:rPr>
        <w:t>。</w:t>
      </w:r>
    </w:p>
    <w:p>
      <w:pPr>
        <w:pStyle w:val="11"/>
        <w:adjustRightInd w:val="0"/>
        <w:snapToGrid w:val="0"/>
        <w:spacing w:after="0" w:line="360" w:lineRule="auto"/>
        <w:ind w:firstLine="480" w:firstLineChars="200"/>
        <w:contextualSpacing/>
        <w:rPr>
          <w:color w:val="auto"/>
          <w:sz w:val="24"/>
        </w:rPr>
      </w:pPr>
      <w:r>
        <w:rPr>
          <w:rFonts w:hint="eastAsia"/>
          <w:color w:val="auto"/>
          <w:sz w:val="24"/>
        </w:rPr>
        <w:t>施工生产防治</w:t>
      </w:r>
      <w:r>
        <w:rPr>
          <w:color w:val="auto"/>
          <w:sz w:val="24"/>
        </w:rPr>
        <w:t>区措施汇总见表5.3-5。</w:t>
      </w:r>
    </w:p>
    <w:p>
      <w:pPr>
        <w:pStyle w:val="11"/>
        <w:adjustRightInd w:val="0"/>
        <w:snapToGrid w:val="0"/>
        <w:spacing w:after="0" w:line="300" w:lineRule="auto"/>
        <w:contextualSpacing/>
        <w:jc w:val="center"/>
        <w:rPr>
          <w:b/>
          <w:color w:val="auto"/>
          <w:sz w:val="21"/>
          <w:szCs w:val="21"/>
        </w:rPr>
      </w:pPr>
      <w:r>
        <w:rPr>
          <w:b/>
          <w:color w:val="auto"/>
          <w:sz w:val="21"/>
          <w:szCs w:val="21"/>
        </w:rPr>
        <w:t xml:space="preserve">表5.3-4  </w:t>
      </w:r>
      <w:r>
        <w:rPr>
          <w:rFonts w:hint="eastAsia"/>
          <w:b/>
          <w:color w:val="auto"/>
          <w:sz w:val="21"/>
          <w:szCs w:val="21"/>
        </w:rPr>
        <w:t>施工生产防治</w:t>
      </w:r>
      <w:r>
        <w:rPr>
          <w:b/>
          <w:color w:val="auto"/>
          <w:sz w:val="21"/>
          <w:szCs w:val="21"/>
        </w:rPr>
        <w:t>区水土保持措施表</w:t>
      </w:r>
    </w:p>
    <w:tbl>
      <w:tblPr>
        <w:tblStyle w:val="25"/>
        <w:tblW w:w="4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085"/>
        <w:gridCol w:w="1207"/>
        <w:gridCol w:w="134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编号</w:t>
            </w:r>
          </w:p>
        </w:tc>
        <w:tc>
          <w:tcPr>
            <w:tcW w:w="1378" w:type="pct"/>
            <w:vAlign w:val="center"/>
          </w:tcPr>
          <w:p>
            <w:pPr>
              <w:snapToGrid w:val="0"/>
              <w:jc w:val="center"/>
              <w:rPr>
                <w:b/>
                <w:bCs/>
                <w:color w:val="auto"/>
                <w:sz w:val="21"/>
                <w:szCs w:val="21"/>
              </w:rPr>
            </w:pPr>
            <w:r>
              <w:rPr>
                <w:b/>
                <w:bCs/>
                <w:color w:val="auto"/>
                <w:sz w:val="21"/>
                <w:szCs w:val="21"/>
              </w:rPr>
              <w:t>工程或费用名称</w:t>
            </w:r>
          </w:p>
        </w:tc>
        <w:tc>
          <w:tcPr>
            <w:tcW w:w="798" w:type="pct"/>
            <w:vAlign w:val="center"/>
          </w:tcPr>
          <w:p>
            <w:pPr>
              <w:snapToGrid w:val="0"/>
              <w:jc w:val="center"/>
              <w:rPr>
                <w:b/>
                <w:bCs/>
                <w:color w:val="auto"/>
                <w:sz w:val="21"/>
                <w:szCs w:val="21"/>
              </w:rPr>
            </w:pPr>
            <w:r>
              <w:rPr>
                <w:b/>
                <w:bCs/>
                <w:color w:val="auto"/>
                <w:sz w:val="21"/>
                <w:szCs w:val="21"/>
              </w:rPr>
              <w:t>单位</w:t>
            </w:r>
          </w:p>
        </w:tc>
        <w:tc>
          <w:tcPr>
            <w:tcW w:w="887" w:type="pct"/>
            <w:vAlign w:val="center"/>
          </w:tcPr>
          <w:p>
            <w:pPr>
              <w:snapToGrid w:val="0"/>
              <w:jc w:val="center"/>
              <w:rPr>
                <w:b/>
                <w:bCs/>
                <w:color w:val="auto"/>
                <w:sz w:val="21"/>
                <w:szCs w:val="21"/>
              </w:rPr>
            </w:pPr>
            <w:r>
              <w:rPr>
                <w:b/>
                <w:bCs/>
                <w:color w:val="auto"/>
                <w:sz w:val="21"/>
                <w:szCs w:val="21"/>
              </w:rPr>
              <w:t>数量</w:t>
            </w:r>
          </w:p>
        </w:tc>
        <w:tc>
          <w:tcPr>
            <w:tcW w:w="1168" w:type="pct"/>
            <w:vAlign w:val="center"/>
          </w:tcPr>
          <w:p>
            <w:pPr>
              <w:snapToGrid w:val="0"/>
              <w:jc w:val="center"/>
              <w:rPr>
                <w:b/>
                <w:bCs/>
                <w:color w:val="auto"/>
                <w:sz w:val="21"/>
                <w:szCs w:val="21"/>
              </w:rPr>
            </w:pPr>
            <w:r>
              <w:rPr>
                <w:rFonts w:hint="eastAsia"/>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9" w:type="pct"/>
            <w:vAlign w:val="center"/>
          </w:tcPr>
          <w:p>
            <w:pPr>
              <w:snapToGrid w:val="0"/>
              <w:jc w:val="center"/>
              <w:rPr>
                <w:b/>
                <w:bCs/>
                <w:color w:val="auto"/>
                <w:sz w:val="21"/>
                <w:szCs w:val="21"/>
              </w:rPr>
            </w:pPr>
            <w:r>
              <w:rPr>
                <w:b/>
                <w:bCs/>
                <w:color w:val="auto"/>
                <w:sz w:val="21"/>
                <w:szCs w:val="21"/>
              </w:rPr>
              <w:t>一</w:t>
            </w:r>
          </w:p>
        </w:tc>
        <w:tc>
          <w:tcPr>
            <w:tcW w:w="1378" w:type="pct"/>
            <w:vAlign w:val="center"/>
          </w:tcPr>
          <w:p>
            <w:pPr>
              <w:snapToGrid w:val="0"/>
              <w:jc w:val="center"/>
              <w:rPr>
                <w:b/>
                <w:bCs/>
                <w:color w:val="auto"/>
                <w:sz w:val="21"/>
                <w:szCs w:val="21"/>
              </w:rPr>
            </w:pPr>
            <w:r>
              <w:rPr>
                <w:b/>
                <w:bCs/>
                <w:color w:val="auto"/>
                <w:sz w:val="21"/>
                <w:szCs w:val="21"/>
              </w:rPr>
              <w:t>工程措施</w:t>
            </w:r>
          </w:p>
        </w:tc>
        <w:tc>
          <w:tcPr>
            <w:tcW w:w="798" w:type="pct"/>
            <w:vAlign w:val="center"/>
          </w:tcPr>
          <w:p>
            <w:pPr>
              <w:snapToGrid w:val="0"/>
              <w:jc w:val="center"/>
              <w:rPr>
                <w:color w:val="auto"/>
                <w:sz w:val="21"/>
                <w:szCs w:val="21"/>
              </w:rPr>
            </w:pPr>
          </w:p>
        </w:tc>
        <w:tc>
          <w:tcPr>
            <w:tcW w:w="887" w:type="pct"/>
            <w:vAlign w:val="center"/>
          </w:tcPr>
          <w:p>
            <w:pPr>
              <w:snapToGrid w:val="0"/>
              <w:jc w:val="center"/>
              <w:rPr>
                <w:color w:val="auto"/>
                <w:sz w:val="21"/>
                <w:szCs w:val="21"/>
              </w:rPr>
            </w:pPr>
          </w:p>
        </w:tc>
        <w:tc>
          <w:tcPr>
            <w:tcW w:w="1168" w:type="pct"/>
            <w:vAlign w:val="center"/>
          </w:tcPr>
          <w:p>
            <w:pPr>
              <w:snapToGrid w:val="0"/>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69" w:type="pct"/>
            <w:vAlign w:val="center"/>
          </w:tcPr>
          <w:p>
            <w:pPr>
              <w:snapToGrid w:val="0"/>
              <w:jc w:val="center"/>
              <w:rPr>
                <w:color w:val="auto"/>
                <w:sz w:val="21"/>
                <w:szCs w:val="21"/>
              </w:rPr>
            </w:pPr>
            <w:r>
              <w:rPr>
                <w:color w:val="auto"/>
                <w:sz w:val="21"/>
                <w:szCs w:val="21"/>
              </w:rPr>
              <w:t>1</w:t>
            </w:r>
          </w:p>
        </w:tc>
        <w:tc>
          <w:tcPr>
            <w:tcW w:w="1378" w:type="pct"/>
            <w:vAlign w:val="center"/>
          </w:tcPr>
          <w:p>
            <w:pPr>
              <w:snapToGrid w:val="0"/>
              <w:jc w:val="center"/>
              <w:rPr>
                <w:color w:val="auto"/>
                <w:sz w:val="21"/>
                <w:szCs w:val="21"/>
              </w:rPr>
            </w:pPr>
            <w:r>
              <w:rPr>
                <w:rFonts w:hint="eastAsia"/>
                <w:color w:val="auto"/>
                <w:sz w:val="21"/>
                <w:szCs w:val="21"/>
              </w:rPr>
              <w:t>全面整地◆</w:t>
            </w:r>
          </w:p>
        </w:tc>
        <w:tc>
          <w:tcPr>
            <w:tcW w:w="798" w:type="pct"/>
            <w:vAlign w:val="center"/>
          </w:tcPr>
          <w:p>
            <w:pPr>
              <w:widowControl/>
              <w:jc w:val="center"/>
              <w:textAlignment w:val="center"/>
              <w:rPr>
                <w:bCs/>
                <w:color w:val="auto"/>
                <w:kern w:val="0"/>
                <w:sz w:val="21"/>
                <w:szCs w:val="21"/>
                <w:lang w:bidi="ar"/>
              </w:rPr>
            </w:pPr>
            <w:r>
              <w:rPr>
                <w:color w:val="auto"/>
                <w:sz w:val="21"/>
                <w:szCs w:val="21"/>
              </w:rPr>
              <w:t>hm</w:t>
            </w:r>
            <w:r>
              <w:rPr>
                <w:color w:val="auto"/>
                <w:sz w:val="21"/>
                <w:szCs w:val="21"/>
                <w:vertAlign w:val="superscript"/>
              </w:rPr>
              <w:t>2</w:t>
            </w:r>
          </w:p>
        </w:tc>
        <w:tc>
          <w:tcPr>
            <w:tcW w:w="887" w:type="pct"/>
            <w:vAlign w:val="center"/>
          </w:tcPr>
          <w:p>
            <w:pPr>
              <w:jc w:val="center"/>
              <w:rPr>
                <w:color w:val="auto"/>
                <w:sz w:val="21"/>
                <w:szCs w:val="21"/>
              </w:rPr>
            </w:pPr>
            <w:r>
              <w:rPr>
                <w:rFonts w:hint="eastAsia"/>
                <w:color w:val="auto"/>
                <w:sz w:val="21"/>
                <w:szCs w:val="21"/>
              </w:rPr>
              <w:t>0</w:t>
            </w:r>
            <w:r>
              <w:rPr>
                <w:color w:val="auto"/>
                <w:sz w:val="21"/>
                <w:szCs w:val="21"/>
              </w:rPr>
              <w:t>.10</w:t>
            </w:r>
          </w:p>
        </w:tc>
        <w:tc>
          <w:tcPr>
            <w:tcW w:w="1168" w:type="pct"/>
            <w:vAlign w:val="center"/>
          </w:tcPr>
          <w:p>
            <w:pPr>
              <w:widowControl/>
              <w:jc w:val="center"/>
              <w:textAlignment w:val="center"/>
              <w:rPr>
                <w:bCs/>
                <w:color w:val="auto"/>
                <w:kern w:val="0"/>
                <w:sz w:val="21"/>
                <w:szCs w:val="21"/>
                <w:lang w:bidi="ar"/>
              </w:rPr>
            </w:pPr>
            <w:r>
              <w:rPr>
                <w:rFonts w:hint="eastAsia"/>
                <w:bCs/>
                <w:color w:val="auto"/>
                <w:kern w:val="0"/>
                <w:sz w:val="21"/>
                <w:szCs w:val="21"/>
                <w:lang w:bidi="ar"/>
              </w:rPr>
              <w:t>已实施</w:t>
            </w:r>
          </w:p>
        </w:tc>
      </w:tr>
    </w:tbl>
    <w:p>
      <w:pPr>
        <w:pStyle w:val="11"/>
        <w:adjustRightInd w:val="0"/>
        <w:snapToGrid w:val="0"/>
        <w:spacing w:after="0" w:line="360" w:lineRule="auto"/>
        <w:ind w:firstLine="420" w:firstLineChars="200"/>
        <w:contextualSpacing/>
        <w:rPr>
          <w:color w:val="auto"/>
          <w:sz w:val="24"/>
        </w:rPr>
      </w:pPr>
      <w:r>
        <w:rPr>
          <w:rFonts w:hint="eastAsia"/>
          <w:color w:val="auto"/>
          <w:sz w:val="21"/>
          <w:szCs w:val="21"/>
        </w:rPr>
        <w:t>注：“◆”表示主体已列措施。</w:t>
      </w:r>
    </w:p>
    <w:p>
      <w:pPr>
        <w:spacing w:line="360" w:lineRule="auto"/>
        <w:contextualSpacing/>
        <w:outlineLvl w:val="1"/>
        <w:rPr>
          <w:b/>
          <w:bCs/>
          <w:color w:val="auto"/>
          <w:sz w:val="30"/>
          <w:szCs w:val="30"/>
        </w:rPr>
      </w:pPr>
      <w:bookmarkStart w:id="149" w:name="_Toc145530067"/>
      <w:r>
        <w:rPr>
          <w:b/>
          <w:bCs/>
          <w:color w:val="auto"/>
          <w:sz w:val="30"/>
          <w:szCs w:val="30"/>
        </w:rPr>
        <w:t>5.4</w:t>
      </w:r>
      <w:r>
        <w:rPr>
          <w:rFonts w:hint="eastAsia"/>
          <w:b/>
          <w:bCs/>
          <w:color w:val="auto"/>
          <w:sz w:val="30"/>
          <w:szCs w:val="30"/>
        </w:rPr>
        <w:t>水土保持措施及工程量</w:t>
      </w:r>
      <w:bookmarkEnd w:id="149"/>
    </w:p>
    <w:p>
      <w:pPr>
        <w:spacing w:line="360" w:lineRule="auto"/>
        <w:ind w:firstLine="480" w:firstLineChars="200"/>
        <w:contextualSpacing/>
        <w:rPr>
          <w:color w:val="auto"/>
          <w:sz w:val="24"/>
        </w:rPr>
      </w:pPr>
      <w:r>
        <w:rPr>
          <w:color w:val="auto"/>
          <w:sz w:val="24"/>
        </w:rPr>
        <w:t>根据水土保持措施布局与设计</w:t>
      </w:r>
      <w:r>
        <w:rPr>
          <w:rFonts w:hint="eastAsia"/>
          <w:color w:val="auto"/>
          <w:sz w:val="24"/>
        </w:rPr>
        <w:t>，</w:t>
      </w:r>
      <w:r>
        <w:rPr>
          <w:color w:val="auto"/>
          <w:sz w:val="24"/>
        </w:rPr>
        <w:t>本项目水土保持措施数量详见表5.3-5。</w:t>
      </w:r>
    </w:p>
    <w:p>
      <w:pPr>
        <w:jc w:val="center"/>
        <w:rPr>
          <w:b/>
          <w:color w:val="auto"/>
          <w:sz w:val="21"/>
          <w:szCs w:val="21"/>
        </w:rPr>
      </w:pPr>
      <w:r>
        <w:rPr>
          <w:b/>
          <w:color w:val="auto"/>
          <w:sz w:val="21"/>
          <w:szCs w:val="21"/>
        </w:rPr>
        <w:t>表5.3-5      水土保持措施数量表</w:t>
      </w:r>
    </w:p>
    <w:tbl>
      <w:tblPr>
        <w:tblStyle w:val="25"/>
        <w:tblW w:w="10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1621"/>
        <w:gridCol w:w="851"/>
        <w:gridCol w:w="992"/>
        <w:gridCol w:w="1134"/>
        <w:gridCol w:w="851"/>
        <w:gridCol w:w="1134"/>
        <w:gridCol w:w="1015"/>
        <w:gridCol w:w="96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exact"/>
          <w:jc w:val="center"/>
        </w:trPr>
        <w:tc>
          <w:tcPr>
            <w:tcW w:w="587"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kern w:val="0"/>
                <w:sz w:val="21"/>
                <w:szCs w:val="21"/>
                <w:lang w:bidi="ar"/>
              </w:rPr>
              <w:t>序号</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kern w:val="0"/>
                <w:sz w:val="21"/>
                <w:szCs w:val="21"/>
                <w:lang w:bidi="ar"/>
              </w:rPr>
              <w:t>工程或费用名称</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kern w:val="0"/>
                <w:sz w:val="21"/>
                <w:szCs w:val="21"/>
                <w:lang w:bidi="ar"/>
              </w:rPr>
              <w:t>单位</w:t>
            </w:r>
          </w:p>
        </w:tc>
        <w:tc>
          <w:tcPr>
            <w:tcW w:w="992"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建构筑物防治区</w:t>
            </w:r>
          </w:p>
        </w:tc>
        <w:tc>
          <w:tcPr>
            <w:tcW w:w="1134" w:type="dxa"/>
            <w:vAlign w:val="center"/>
          </w:tcPr>
          <w:p>
            <w:pPr>
              <w:widowControl/>
              <w:spacing w:line="300" w:lineRule="exact"/>
              <w:jc w:val="center"/>
              <w:textAlignment w:val="center"/>
              <w:rPr>
                <w:color w:val="auto"/>
                <w:kern w:val="0"/>
                <w:sz w:val="21"/>
                <w:szCs w:val="21"/>
                <w:lang w:bidi="ar"/>
              </w:rPr>
            </w:pPr>
            <w:r>
              <w:rPr>
                <w:rFonts w:hint="eastAsia"/>
                <w:color w:val="auto"/>
                <w:sz w:val="21"/>
                <w:szCs w:val="21"/>
              </w:rPr>
              <w:t>道路地面硬化防治区</w:t>
            </w:r>
          </w:p>
        </w:tc>
        <w:tc>
          <w:tcPr>
            <w:tcW w:w="851" w:type="dxa"/>
            <w:vAlign w:val="center"/>
          </w:tcPr>
          <w:p>
            <w:pPr>
              <w:widowControl/>
              <w:spacing w:line="300" w:lineRule="exact"/>
              <w:jc w:val="center"/>
              <w:textAlignment w:val="center"/>
              <w:rPr>
                <w:color w:val="auto"/>
                <w:kern w:val="0"/>
                <w:sz w:val="21"/>
                <w:szCs w:val="21"/>
                <w:lang w:bidi="ar"/>
              </w:rPr>
            </w:pPr>
            <w:r>
              <w:rPr>
                <w:rFonts w:hint="eastAsia"/>
                <w:color w:val="auto"/>
                <w:kern w:val="0"/>
                <w:sz w:val="21"/>
                <w:szCs w:val="21"/>
                <w:lang w:bidi="ar"/>
              </w:rPr>
              <w:t>绿化防治区</w:t>
            </w:r>
          </w:p>
        </w:tc>
        <w:tc>
          <w:tcPr>
            <w:tcW w:w="1134" w:type="dxa"/>
            <w:vAlign w:val="center"/>
          </w:tcPr>
          <w:p>
            <w:pPr>
              <w:widowControl/>
              <w:spacing w:line="300" w:lineRule="exact"/>
              <w:jc w:val="center"/>
              <w:textAlignment w:val="center"/>
              <w:rPr>
                <w:color w:val="auto"/>
                <w:kern w:val="0"/>
                <w:sz w:val="21"/>
                <w:szCs w:val="21"/>
                <w:lang w:bidi="ar"/>
              </w:rPr>
            </w:pPr>
            <w:r>
              <w:rPr>
                <w:rFonts w:hint="eastAsia"/>
                <w:color w:val="auto"/>
                <w:kern w:val="0"/>
                <w:sz w:val="21"/>
                <w:szCs w:val="21"/>
                <w:lang w:bidi="ar"/>
              </w:rPr>
              <w:t>工业园区管网防治区</w:t>
            </w:r>
          </w:p>
        </w:tc>
        <w:tc>
          <w:tcPr>
            <w:tcW w:w="1015" w:type="dxa"/>
            <w:vAlign w:val="center"/>
          </w:tcPr>
          <w:p>
            <w:pPr>
              <w:widowControl/>
              <w:spacing w:line="300" w:lineRule="exact"/>
              <w:jc w:val="center"/>
              <w:textAlignment w:val="center"/>
              <w:rPr>
                <w:color w:val="auto"/>
                <w:kern w:val="0"/>
                <w:sz w:val="21"/>
                <w:szCs w:val="21"/>
                <w:lang w:bidi="ar"/>
              </w:rPr>
            </w:pPr>
            <w:r>
              <w:rPr>
                <w:rFonts w:hint="eastAsia"/>
                <w:color w:val="auto"/>
                <w:kern w:val="0"/>
                <w:sz w:val="21"/>
                <w:szCs w:val="21"/>
                <w:lang w:bidi="ar"/>
              </w:rPr>
              <w:t>施工生产防治区</w:t>
            </w:r>
          </w:p>
        </w:tc>
        <w:tc>
          <w:tcPr>
            <w:tcW w:w="969" w:type="dxa"/>
            <w:vAlign w:val="center"/>
          </w:tcPr>
          <w:p>
            <w:pPr>
              <w:widowControl/>
              <w:spacing w:line="300" w:lineRule="exact"/>
              <w:jc w:val="center"/>
              <w:textAlignment w:val="center"/>
              <w:rPr>
                <w:color w:val="auto"/>
                <w:kern w:val="0"/>
                <w:sz w:val="21"/>
                <w:szCs w:val="21"/>
                <w:lang w:bidi="ar"/>
              </w:rPr>
            </w:pPr>
            <w:r>
              <w:rPr>
                <w:rFonts w:hint="eastAsia"/>
                <w:color w:val="auto"/>
                <w:kern w:val="0"/>
                <w:sz w:val="21"/>
                <w:szCs w:val="21"/>
                <w:lang w:bidi="ar"/>
              </w:rPr>
              <w:t>合计</w:t>
            </w:r>
          </w:p>
        </w:tc>
        <w:tc>
          <w:tcPr>
            <w:tcW w:w="992" w:type="dxa"/>
            <w:vAlign w:val="center"/>
          </w:tcPr>
          <w:p>
            <w:pPr>
              <w:widowControl/>
              <w:spacing w:line="300" w:lineRule="exact"/>
              <w:jc w:val="center"/>
              <w:textAlignment w:val="center"/>
              <w:rPr>
                <w:color w:val="auto"/>
                <w:kern w:val="0"/>
                <w:sz w:val="21"/>
                <w:szCs w:val="21"/>
                <w:lang w:bidi="ar"/>
              </w:rPr>
            </w:pPr>
            <w:r>
              <w:rPr>
                <w:rFonts w:hint="eastAsia"/>
                <w:color w:val="auto"/>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exact"/>
          <w:jc w:val="center"/>
        </w:trPr>
        <w:tc>
          <w:tcPr>
            <w:tcW w:w="587" w:type="dxa"/>
            <w:tcMar>
              <w:top w:w="15" w:type="dxa"/>
              <w:left w:w="15" w:type="dxa"/>
              <w:right w:w="15" w:type="dxa"/>
            </w:tcMar>
            <w:vAlign w:val="center"/>
          </w:tcPr>
          <w:p>
            <w:pPr>
              <w:widowControl/>
              <w:spacing w:line="300" w:lineRule="exact"/>
              <w:jc w:val="center"/>
              <w:textAlignment w:val="center"/>
              <w:rPr>
                <w:b/>
                <w:color w:val="auto"/>
                <w:sz w:val="21"/>
                <w:szCs w:val="21"/>
              </w:rPr>
            </w:pPr>
            <w:r>
              <w:rPr>
                <w:b/>
                <w:color w:val="auto"/>
                <w:sz w:val="21"/>
                <w:szCs w:val="21"/>
              </w:rPr>
              <w:t>Ⅰ</w:t>
            </w:r>
          </w:p>
        </w:tc>
        <w:tc>
          <w:tcPr>
            <w:tcW w:w="1621" w:type="dxa"/>
            <w:tcMar>
              <w:top w:w="15" w:type="dxa"/>
              <w:left w:w="15" w:type="dxa"/>
              <w:right w:w="15" w:type="dxa"/>
            </w:tcMar>
            <w:vAlign w:val="center"/>
          </w:tcPr>
          <w:p>
            <w:pPr>
              <w:widowControl/>
              <w:spacing w:line="300" w:lineRule="exact"/>
              <w:jc w:val="center"/>
              <w:textAlignment w:val="center"/>
              <w:rPr>
                <w:b/>
                <w:color w:val="auto"/>
                <w:sz w:val="21"/>
                <w:szCs w:val="21"/>
              </w:rPr>
            </w:pPr>
            <w:r>
              <w:rPr>
                <w:b/>
                <w:color w:val="auto"/>
                <w:sz w:val="21"/>
                <w:szCs w:val="21"/>
              </w:rPr>
              <w:t>第一部分:工程措施</w:t>
            </w:r>
          </w:p>
        </w:tc>
        <w:tc>
          <w:tcPr>
            <w:tcW w:w="851" w:type="dxa"/>
            <w:tcMar>
              <w:top w:w="15" w:type="dxa"/>
              <w:left w:w="15" w:type="dxa"/>
              <w:right w:w="15" w:type="dxa"/>
            </w:tcMar>
            <w:vAlign w:val="center"/>
          </w:tcPr>
          <w:p>
            <w:pPr>
              <w:spacing w:line="300" w:lineRule="exact"/>
              <w:jc w:val="center"/>
              <w:rPr>
                <w:b/>
                <w:color w:val="auto"/>
                <w:sz w:val="21"/>
                <w:szCs w:val="21"/>
              </w:rPr>
            </w:pPr>
          </w:p>
        </w:tc>
        <w:tc>
          <w:tcPr>
            <w:tcW w:w="992" w:type="dxa"/>
            <w:tcMar>
              <w:top w:w="15" w:type="dxa"/>
              <w:left w:w="15" w:type="dxa"/>
              <w:right w:w="15" w:type="dxa"/>
            </w:tcMar>
            <w:vAlign w:val="center"/>
          </w:tcPr>
          <w:p>
            <w:pPr>
              <w:spacing w:line="300" w:lineRule="exact"/>
              <w:jc w:val="center"/>
              <w:rPr>
                <w:b/>
                <w:color w:val="auto"/>
                <w:sz w:val="21"/>
                <w:szCs w:val="21"/>
              </w:rPr>
            </w:pPr>
          </w:p>
        </w:tc>
        <w:tc>
          <w:tcPr>
            <w:tcW w:w="1134" w:type="dxa"/>
            <w:vAlign w:val="center"/>
          </w:tcPr>
          <w:p>
            <w:pPr>
              <w:spacing w:line="300" w:lineRule="exact"/>
              <w:jc w:val="center"/>
              <w:rPr>
                <w:b/>
                <w:color w:val="auto"/>
                <w:sz w:val="21"/>
                <w:szCs w:val="21"/>
              </w:rPr>
            </w:pPr>
          </w:p>
        </w:tc>
        <w:tc>
          <w:tcPr>
            <w:tcW w:w="851" w:type="dxa"/>
            <w:vAlign w:val="center"/>
          </w:tcPr>
          <w:p>
            <w:pPr>
              <w:spacing w:line="300" w:lineRule="exact"/>
              <w:jc w:val="center"/>
              <w:rPr>
                <w:b/>
                <w:color w:val="auto"/>
                <w:sz w:val="21"/>
                <w:szCs w:val="21"/>
              </w:rPr>
            </w:pPr>
          </w:p>
        </w:tc>
        <w:tc>
          <w:tcPr>
            <w:tcW w:w="1134" w:type="dxa"/>
            <w:vAlign w:val="center"/>
          </w:tcPr>
          <w:p>
            <w:pPr>
              <w:spacing w:line="300" w:lineRule="exact"/>
              <w:jc w:val="center"/>
              <w:rPr>
                <w:b/>
                <w:color w:val="auto"/>
                <w:sz w:val="21"/>
                <w:szCs w:val="21"/>
              </w:rPr>
            </w:pPr>
          </w:p>
        </w:tc>
        <w:tc>
          <w:tcPr>
            <w:tcW w:w="1015" w:type="dxa"/>
            <w:vAlign w:val="center"/>
          </w:tcPr>
          <w:p>
            <w:pPr>
              <w:spacing w:line="300" w:lineRule="exact"/>
              <w:jc w:val="center"/>
              <w:rPr>
                <w:b/>
                <w:color w:val="auto"/>
                <w:sz w:val="21"/>
                <w:szCs w:val="21"/>
              </w:rPr>
            </w:pPr>
          </w:p>
        </w:tc>
        <w:tc>
          <w:tcPr>
            <w:tcW w:w="969" w:type="dxa"/>
            <w:vAlign w:val="center"/>
          </w:tcPr>
          <w:p>
            <w:pPr>
              <w:spacing w:line="300" w:lineRule="exact"/>
              <w:jc w:val="center"/>
              <w:rPr>
                <w:b/>
                <w:color w:val="auto"/>
                <w:sz w:val="21"/>
                <w:szCs w:val="21"/>
              </w:rPr>
            </w:pPr>
          </w:p>
        </w:tc>
        <w:tc>
          <w:tcPr>
            <w:tcW w:w="992" w:type="dxa"/>
            <w:vAlign w:val="center"/>
          </w:tcPr>
          <w:p>
            <w:pPr>
              <w:spacing w:line="300" w:lineRule="exact"/>
              <w:jc w:val="center"/>
              <w:rPr>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center"/>
              <w:rPr>
                <w:bCs/>
                <w:color w:val="auto"/>
                <w:sz w:val="21"/>
                <w:szCs w:val="21"/>
              </w:rPr>
            </w:pPr>
            <w:r>
              <w:rPr>
                <w:rFonts w:hint="eastAsia"/>
                <w:bCs/>
                <w:color w:val="auto"/>
                <w:sz w:val="21"/>
                <w:szCs w:val="21"/>
              </w:rPr>
              <w:t>1</w:t>
            </w:r>
          </w:p>
        </w:tc>
        <w:tc>
          <w:tcPr>
            <w:tcW w:w="1621" w:type="dxa"/>
            <w:tcMar>
              <w:top w:w="15" w:type="dxa"/>
              <w:left w:w="15" w:type="dxa"/>
              <w:right w:w="15" w:type="dxa"/>
            </w:tcMar>
            <w:vAlign w:val="center"/>
          </w:tcPr>
          <w:p>
            <w:pPr>
              <w:widowControl/>
              <w:spacing w:line="300" w:lineRule="exact"/>
              <w:jc w:val="center"/>
              <w:textAlignment w:val="center"/>
              <w:rPr>
                <w:bCs/>
                <w:color w:val="auto"/>
                <w:sz w:val="21"/>
                <w:szCs w:val="21"/>
              </w:rPr>
            </w:pPr>
            <w:r>
              <w:rPr>
                <w:rFonts w:hint="eastAsia"/>
                <w:bCs/>
                <w:color w:val="auto"/>
                <w:sz w:val="21"/>
                <w:szCs w:val="21"/>
              </w:rPr>
              <w:t>全面整地</w:t>
            </w:r>
          </w:p>
        </w:tc>
        <w:tc>
          <w:tcPr>
            <w:tcW w:w="851" w:type="dxa"/>
            <w:tcMar>
              <w:top w:w="15" w:type="dxa"/>
              <w:left w:w="15" w:type="dxa"/>
              <w:right w:w="15" w:type="dxa"/>
            </w:tcMar>
            <w:vAlign w:val="center"/>
          </w:tcPr>
          <w:p>
            <w:pPr>
              <w:spacing w:line="300" w:lineRule="exact"/>
              <w:jc w:val="center"/>
              <w:rPr>
                <w:b/>
                <w:color w:val="auto"/>
                <w:sz w:val="21"/>
                <w:szCs w:val="21"/>
              </w:rPr>
            </w:pPr>
          </w:p>
        </w:tc>
        <w:tc>
          <w:tcPr>
            <w:tcW w:w="992" w:type="dxa"/>
            <w:tcMar>
              <w:top w:w="15" w:type="dxa"/>
              <w:left w:w="15" w:type="dxa"/>
              <w:right w:w="15" w:type="dxa"/>
            </w:tcMar>
            <w:vAlign w:val="center"/>
          </w:tcPr>
          <w:p>
            <w:pPr>
              <w:spacing w:line="300" w:lineRule="exact"/>
              <w:jc w:val="center"/>
              <w:rPr>
                <w:b/>
                <w:color w:val="auto"/>
                <w:sz w:val="21"/>
                <w:szCs w:val="21"/>
              </w:rPr>
            </w:pPr>
            <w:r>
              <w:rPr>
                <w:rFonts w:hint="eastAsia"/>
                <w:b/>
                <w:color w:val="auto"/>
                <w:sz w:val="21"/>
                <w:szCs w:val="21"/>
              </w:rPr>
              <w:t>/</w:t>
            </w:r>
          </w:p>
        </w:tc>
        <w:tc>
          <w:tcPr>
            <w:tcW w:w="1134" w:type="dxa"/>
            <w:vAlign w:val="center"/>
          </w:tcPr>
          <w:p>
            <w:pPr>
              <w:spacing w:line="300" w:lineRule="exact"/>
              <w:jc w:val="center"/>
              <w:rPr>
                <w:b/>
                <w:color w:val="auto"/>
                <w:sz w:val="21"/>
                <w:szCs w:val="21"/>
              </w:rPr>
            </w:pPr>
            <w:r>
              <w:rPr>
                <w:rFonts w:hint="eastAsia"/>
                <w:b/>
                <w:color w:val="auto"/>
                <w:sz w:val="21"/>
                <w:szCs w:val="21"/>
              </w:rPr>
              <w:t>/</w:t>
            </w:r>
          </w:p>
        </w:tc>
        <w:tc>
          <w:tcPr>
            <w:tcW w:w="851" w:type="dxa"/>
            <w:vAlign w:val="center"/>
          </w:tcPr>
          <w:p>
            <w:pPr>
              <w:spacing w:line="300" w:lineRule="exact"/>
              <w:jc w:val="center"/>
              <w:rPr>
                <w:bCs/>
                <w:color w:val="auto"/>
                <w:sz w:val="21"/>
                <w:szCs w:val="21"/>
              </w:rPr>
            </w:pPr>
            <w:r>
              <w:rPr>
                <w:rFonts w:hint="eastAsia"/>
                <w:bCs/>
                <w:color w:val="auto"/>
                <w:sz w:val="21"/>
                <w:szCs w:val="21"/>
              </w:rPr>
              <w:t>1</w:t>
            </w:r>
            <w:r>
              <w:rPr>
                <w:bCs/>
                <w:color w:val="auto"/>
                <w:sz w:val="21"/>
                <w:szCs w:val="21"/>
              </w:rPr>
              <w:t>.30</w:t>
            </w:r>
          </w:p>
        </w:tc>
        <w:tc>
          <w:tcPr>
            <w:tcW w:w="1134" w:type="dxa"/>
            <w:vAlign w:val="center"/>
          </w:tcPr>
          <w:p>
            <w:pPr>
              <w:spacing w:line="300" w:lineRule="exact"/>
              <w:jc w:val="center"/>
              <w:rPr>
                <w:bCs/>
                <w:color w:val="auto"/>
                <w:sz w:val="21"/>
                <w:szCs w:val="21"/>
              </w:rPr>
            </w:pPr>
            <w:r>
              <w:rPr>
                <w:rFonts w:hint="eastAsia"/>
                <w:bCs/>
                <w:color w:val="auto"/>
                <w:sz w:val="21"/>
                <w:szCs w:val="21"/>
              </w:rPr>
              <w:t>1</w:t>
            </w:r>
            <w:r>
              <w:rPr>
                <w:bCs/>
                <w:color w:val="auto"/>
                <w:sz w:val="21"/>
                <w:szCs w:val="21"/>
              </w:rPr>
              <w:t>.19</w:t>
            </w:r>
          </w:p>
        </w:tc>
        <w:tc>
          <w:tcPr>
            <w:tcW w:w="1015" w:type="dxa"/>
            <w:vAlign w:val="center"/>
          </w:tcPr>
          <w:p>
            <w:pPr>
              <w:spacing w:line="300" w:lineRule="exact"/>
              <w:jc w:val="center"/>
              <w:rPr>
                <w:bCs/>
                <w:color w:val="auto"/>
                <w:sz w:val="21"/>
                <w:szCs w:val="21"/>
              </w:rPr>
            </w:pPr>
            <w:r>
              <w:rPr>
                <w:rFonts w:hint="eastAsia"/>
                <w:bCs/>
                <w:color w:val="auto"/>
                <w:sz w:val="21"/>
                <w:szCs w:val="21"/>
              </w:rPr>
              <w:t>0</w:t>
            </w:r>
            <w:r>
              <w:rPr>
                <w:bCs/>
                <w:color w:val="auto"/>
                <w:sz w:val="21"/>
                <w:szCs w:val="21"/>
              </w:rPr>
              <w:t>.10</w:t>
            </w:r>
          </w:p>
        </w:tc>
        <w:tc>
          <w:tcPr>
            <w:tcW w:w="969" w:type="dxa"/>
            <w:vAlign w:val="center"/>
          </w:tcPr>
          <w:p>
            <w:pPr>
              <w:spacing w:line="300" w:lineRule="exact"/>
              <w:jc w:val="center"/>
              <w:rPr>
                <w:b/>
                <w:color w:val="auto"/>
                <w:sz w:val="21"/>
                <w:szCs w:val="21"/>
              </w:rPr>
            </w:pPr>
            <w:r>
              <w:rPr>
                <w:rFonts w:hint="eastAsia"/>
                <w:b/>
                <w:color w:val="auto"/>
                <w:sz w:val="21"/>
                <w:szCs w:val="21"/>
              </w:rPr>
              <w:t>2</w:t>
            </w:r>
            <w:r>
              <w:rPr>
                <w:b/>
                <w:color w:val="auto"/>
                <w:sz w:val="21"/>
                <w:szCs w:val="21"/>
              </w:rPr>
              <w:t>.59</w:t>
            </w:r>
          </w:p>
        </w:tc>
        <w:tc>
          <w:tcPr>
            <w:tcW w:w="992" w:type="dxa"/>
            <w:vAlign w:val="center"/>
          </w:tcPr>
          <w:p>
            <w:pPr>
              <w:spacing w:line="300" w:lineRule="exact"/>
              <w:jc w:val="center"/>
              <w:rPr>
                <w:b/>
                <w:color w:val="auto"/>
                <w:sz w:val="21"/>
                <w:szCs w:val="21"/>
              </w:rPr>
            </w:pPr>
            <w:r>
              <w:rPr>
                <w:rFonts w:hint="eastAsia"/>
                <w:bCs/>
                <w:color w:val="auto"/>
                <w:kern w:val="0"/>
                <w:sz w:val="21"/>
                <w:szCs w:val="21"/>
                <w:lang w:bidi="ar"/>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color w:val="auto"/>
                <w:sz w:val="21"/>
                <w:szCs w:val="21"/>
              </w:rPr>
            </w:pPr>
            <w:r>
              <w:rPr>
                <w:color w:val="auto"/>
                <w:sz w:val="21"/>
                <w:szCs w:val="21"/>
              </w:rPr>
              <w:t>2</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雨水管网</w:t>
            </w:r>
            <w:r>
              <w:rPr>
                <w:rFonts w:hint="eastAsia" w:ascii="宋体" w:hAnsi="宋体" w:cs="宋体"/>
                <w:color w:val="auto"/>
                <w:sz w:val="21"/>
                <w:szCs w:val="21"/>
              </w:rPr>
              <w:t>◆</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m</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2</w:t>
            </w:r>
            <w:r>
              <w:rPr>
                <w:color w:val="auto"/>
                <w:sz w:val="21"/>
                <w:szCs w:val="21"/>
              </w:rPr>
              <w:t>49</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rFonts w:hint="eastAsia"/>
                <w:bCs/>
                <w:color w:val="auto"/>
                <w:sz w:val="21"/>
                <w:szCs w:val="21"/>
              </w:rPr>
              <w:t>/</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b/>
                <w:bCs/>
                <w:color w:val="auto"/>
                <w:sz w:val="21"/>
                <w:szCs w:val="21"/>
              </w:rPr>
              <w:t>249</w:t>
            </w:r>
          </w:p>
        </w:tc>
        <w:tc>
          <w:tcPr>
            <w:tcW w:w="992" w:type="dxa"/>
            <w:vAlign w:val="center"/>
          </w:tcPr>
          <w:p>
            <w:pPr>
              <w:spacing w:line="300" w:lineRule="exact"/>
              <w:jc w:val="center"/>
              <w:rPr>
                <w:color w:val="auto"/>
                <w:sz w:val="21"/>
                <w:szCs w:val="21"/>
              </w:rPr>
            </w:pPr>
            <w:r>
              <w:rPr>
                <w:rFonts w:hint="eastAsia"/>
                <w:bCs/>
                <w:color w:val="auto"/>
                <w:kern w:val="0"/>
                <w:sz w:val="21"/>
                <w:szCs w:val="21"/>
                <w:lang w:bidi="ar"/>
              </w:rPr>
              <w:t>已实施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color w:val="auto"/>
                <w:sz w:val="21"/>
                <w:szCs w:val="21"/>
              </w:rPr>
            </w:pPr>
            <w:r>
              <w:rPr>
                <w:rFonts w:hint="eastAsia" w:ascii="宋体" w:hAnsi="宋体" w:cs="宋体"/>
                <w:color w:val="auto"/>
                <w:sz w:val="21"/>
                <w:szCs w:val="21"/>
              </w:rPr>
              <w:t>①</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D</w:t>
            </w:r>
            <w:r>
              <w:rPr>
                <w:color w:val="auto"/>
                <w:sz w:val="21"/>
                <w:szCs w:val="21"/>
              </w:rPr>
              <w:t>1000</w:t>
            </w:r>
            <w:r>
              <w:rPr>
                <w:rFonts w:hint="eastAsia"/>
                <w:color w:val="auto"/>
                <w:sz w:val="21"/>
                <w:szCs w:val="21"/>
              </w:rPr>
              <w:t>混凝土管</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m</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1</w:t>
            </w:r>
            <w:r>
              <w:rPr>
                <w:color w:val="auto"/>
                <w:sz w:val="21"/>
                <w:szCs w:val="21"/>
              </w:rPr>
              <w:t>00</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rFonts w:hint="eastAsia"/>
                <w:bCs/>
                <w:color w:val="auto"/>
                <w:sz w:val="21"/>
                <w:szCs w:val="21"/>
              </w:rPr>
              <w:t>/</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rFonts w:hint="eastAsia"/>
                <w:b/>
                <w:bCs/>
                <w:color w:val="auto"/>
                <w:sz w:val="21"/>
                <w:szCs w:val="21"/>
              </w:rPr>
              <w:t>1</w:t>
            </w:r>
            <w:r>
              <w:rPr>
                <w:b/>
                <w:bCs/>
                <w:color w:val="auto"/>
                <w:sz w:val="21"/>
                <w:szCs w:val="21"/>
              </w:rPr>
              <w:t>00</w:t>
            </w:r>
          </w:p>
        </w:tc>
        <w:tc>
          <w:tcPr>
            <w:tcW w:w="992" w:type="dxa"/>
            <w:vAlign w:val="center"/>
          </w:tcPr>
          <w:p>
            <w:pPr>
              <w:spacing w:line="300" w:lineRule="exact"/>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color w:val="auto"/>
                <w:sz w:val="21"/>
                <w:szCs w:val="21"/>
              </w:rPr>
            </w:pPr>
            <w:r>
              <w:rPr>
                <w:rFonts w:hint="eastAsia" w:ascii="宋体" w:hAnsi="宋体" w:cs="宋体"/>
                <w:color w:val="auto"/>
                <w:sz w:val="21"/>
                <w:szCs w:val="21"/>
              </w:rPr>
              <w:t>②</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D</w:t>
            </w:r>
            <w:r>
              <w:rPr>
                <w:color w:val="auto"/>
                <w:sz w:val="21"/>
                <w:szCs w:val="21"/>
              </w:rPr>
              <w:t>1200</w:t>
            </w:r>
            <w:r>
              <w:rPr>
                <w:rFonts w:hint="eastAsia"/>
                <w:color w:val="auto"/>
                <w:sz w:val="21"/>
                <w:szCs w:val="21"/>
              </w:rPr>
              <w:t>混凝土管</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m</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1</w:t>
            </w:r>
            <w:r>
              <w:rPr>
                <w:color w:val="auto"/>
                <w:sz w:val="21"/>
                <w:szCs w:val="21"/>
              </w:rPr>
              <w:t>49</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rFonts w:hint="eastAsia"/>
                <w:bCs/>
                <w:color w:val="auto"/>
                <w:sz w:val="21"/>
                <w:szCs w:val="21"/>
              </w:rPr>
              <w:t>/</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rFonts w:hint="eastAsia"/>
                <w:b/>
                <w:bCs/>
                <w:color w:val="auto"/>
                <w:sz w:val="21"/>
                <w:szCs w:val="21"/>
              </w:rPr>
              <w:t>1</w:t>
            </w:r>
            <w:r>
              <w:rPr>
                <w:b/>
                <w:bCs/>
                <w:color w:val="auto"/>
                <w:sz w:val="21"/>
                <w:szCs w:val="21"/>
              </w:rPr>
              <w:t>49</w:t>
            </w:r>
          </w:p>
        </w:tc>
        <w:tc>
          <w:tcPr>
            <w:tcW w:w="992" w:type="dxa"/>
            <w:vAlign w:val="center"/>
          </w:tcPr>
          <w:p>
            <w:pPr>
              <w:spacing w:line="300" w:lineRule="exact"/>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rFonts w:ascii="宋体" w:hAnsi="宋体" w:cs="宋体"/>
                <w:color w:val="auto"/>
                <w:sz w:val="21"/>
                <w:szCs w:val="21"/>
              </w:rPr>
            </w:pPr>
            <w:r>
              <w:rPr>
                <w:rFonts w:hint="eastAsia"/>
                <w:color w:val="auto"/>
                <w:sz w:val="21"/>
                <w:szCs w:val="21"/>
              </w:rPr>
              <w:t>③</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雨水井</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座</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1</w:t>
            </w:r>
            <w:r>
              <w:rPr>
                <w:color w:val="auto"/>
                <w:sz w:val="21"/>
                <w:szCs w:val="21"/>
              </w:rPr>
              <w:t>8</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rFonts w:hint="eastAsia"/>
                <w:bCs/>
                <w:color w:val="auto"/>
                <w:sz w:val="21"/>
                <w:szCs w:val="21"/>
              </w:rPr>
              <w:t>/</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rFonts w:hint="eastAsia"/>
                <w:b/>
                <w:bCs/>
                <w:color w:val="auto"/>
                <w:sz w:val="21"/>
                <w:szCs w:val="21"/>
              </w:rPr>
              <w:t>1</w:t>
            </w:r>
            <w:r>
              <w:rPr>
                <w:b/>
                <w:bCs/>
                <w:color w:val="auto"/>
                <w:sz w:val="21"/>
                <w:szCs w:val="21"/>
              </w:rPr>
              <w:t>8</w:t>
            </w:r>
          </w:p>
        </w:tc>
        <w:tc>
          <w:tcPr>
            <w:tcW w:w="992" w:type="dxa"/>
            <w:vAlign w:val="center"/>
          </w:tcPr>
          <w:p>
            <w:pPr>
              <w:spacing w:line="300" w:lineRule="exact"/>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color w:val="auto"/>
                <w:sz w:val="21"/>
                <w:szCs w:val="21"/>
              </w:rPr>
            </w:pPr>
            <w:r>
              <w:rPr>
                <w:rFonts w:hint="eastAsia"/>
                <w:color w:val="auto"/>
                <w:sz w:val="21"/>
                <w:szCs w:val="21"/>
              </w:rPr>
              <w:t>3</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排水明沟</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m</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2</w:t>
            </w:r>
            <w:r>
              <w:rPr>
                <w:color w:val="auto"/>
                <w:sz w:val="21"/>
                <w:szCs w:val="21"/>
              </w:rPr>
              <w:t>60</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rFonts w:hint="eastAsia"/>
                <w:bCs/>
                <w:color w:val="auto"/>
                <w:sz w:val="21"/>
                <w:szCs w:val="21"/>
              </w:rPr>
              <w:t>/</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rFonts w:hint="eastAsia"/>
                <w:b/>
                <w:bCs/>
                <w:color w:val="auto"/>
                <w:sz w:val="21"/>
                <w:szCs w:val="21"/>
              </w:rPr>
              <w:t>2</w:t>
            </w:r>
            <w:r>
              <w:rPr>
                <w:b/>
                <w:bCs/>
                <w:color w:val="auto"/>
                <w:sz w:val="21"/>
                <w:szCs w:val="21"/>
              </w:rPr>
              <w:t>60</w:t>
            </w:r>
          </w:p>
        </w:tc>
        <w:tc>
          <w:tcPr>
            <w:tcW w:w="992" w:type="dxa"/>
            <w:vAlign w:val="center"/>
          </w:tcPr>
          <w:p>
            <w:pPr>
              <w:spacing w:line="300" w:lineRule="exact"/>
              <w:jc w:val="center"/>
              <w:rPr>
                <w:color w:val="auto"/>
                <w:sz w:val="21"/>
                <w:szCs w:val="21"/>
              </w:rPr>
            </w:pPr>
            <w:r>
              <w:rPr>
                <w:rFonts w:hint="eastAsia"/>
                <w:bCs/>
                <w:color w:val="auto"/>
                <w:kern w:val="0"/>
                <w:sz w:val="21"/>
                <w:szCs w:val="21"/>
                <w:lang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b/>
                <w:bCs/>
                <w:color w:val="auto"/>
                <w:sz w:val="21"/>
                <w:szCs w:val="21"/>
              </w:rPr>
            </w:pPr>
            <w:r>
              <w:rPr>
                <w:rFonts w:hint="eastAsia"/>
                <w:b/>
                <w:bCs/>
                <w:color w:val="auto"/>
                <w:sz w:val="21"/>
                <w:szCs w:val="21"/>
              </w:rPr>
              <w:t>Ⅱ</w:t>
            </w:r>
          </w:p>
        </w:tc>
        <w:tc>
          <w:tcPr>
            <w:tcW w:w="1621" w:type="dxa"/>
            <w:tcMar>
              <w:top w:w="15" w:type="dxa"/>
              <w:left w:w="15" w:type="dxa"/>
              <w:right w:w="15" w:type="dxa"/>
            </w:tcMar>
            <w:vAlign w:val="center"/>
          </w:tcPr>
          <w:p>
            <w:pPr>
              <w:widowControl/>
              <w:spacing w:line="300" w:lineRule="exact"/>
              <w:jc w:val="center"/>
              <w:textAlignment w:val="center"/>
              <w:rPr>
                <w:b/>
                <w:bCs/>
                <w:color w:val="auto"/>
                <w:sz w:val="21"/>
                <w:szCs w:val="21"/>
              </w:rPr>
            </w:pPr>
            <w:r>
              <w:rPr>
                <w:rFonts w:hint="eastAsia"/>
                <w:b/>
                <w:bCs/>
                <w:color w:val="auto"/>
                <w:sz w:val="21"/>
                <w:szCs w:val="21"/>
              </w:rPr>
              <w:t>植物措施</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p>
        </w:tc>
        <w:tc>
          <w:tcPr>
            <w:tcW w:w="992" w:type="dxa"/>
            <w:tcMar>
              <w:top w:w="15" w:type="dxa"/>
              <w:left w:w="15" w:type="dxa"/>
              <w:right w:w="15" w:type="dxa"/>
            </w:tcMar>
            <w:vAlign w:val="center"/>
          </w:tcPr>
          <w:p>
            <w:pPr>
              <w:spacing w:line="300" w:lineRule="exact"/>
              <w:jc w:val="center"/>
              <w:rPr>
                <w:color w:val="auto"/>
                <w:sz w:val="21"/>
                <w:szCs w:val="21"/>
              </w:rPr>
            </w:pPr>
          </w:p>
        </w:tc>
        <w:tc>
          <w:tcPr>
            <w:tcW w:w="1134" w:type="dxa"/>
            <w:vAlign w:val="center"/>
          </w:tcPr>
          <w:p>
            <w:pPr>
              <w:spacing w:line="300" w:lineRule="exact"/>
              <w:jc w:val="center"/>
              <w:rPr>
                <w:color w:val="auto"/>
                <w:sz w:val="21"/>
                <w:szCs w:val="21"/>
              </w:rPr>
            </w:pPr>
          </w:p>
        </w:tc>
        <w:tc>
          <w:tcPr>
            <w:tcW w:w="851" w:type="dxa"/>
            <w:vAlign w:val="center"/>
          </w:tcPr>
          <w:p>
            <w:pPr>
              <w:spacing w:line="300" w:lineRule="exact"/>
              <w:jc w:val="center"/>
              <w:rPr>
                <w:b/>
                <w:bCs/>
                <w:color w:val="auto"/>
                <w:sz w:val="21"/>
                <w:szCs w:val="21"/>
              </w:rPr>
            </w:pPr>
          </w:p>
        </w:tc>
        <w:tc>
          <w:tcPr>
            <w:tcW w:w="1134" w:type="dxa"/>
            <w:vAlign w:val="center"/>
          </w:tcPr>
          <w:p>
            <w:pPr>
              <w:spacing w:line="300" w:lineRule="exact"/>
              <w:jc w:val="center"/>
              <w:rPr>
                <w:bCs/>
                <w:color w:val="auto"/>
                <w:sz w:val="21"/>
                <w:szCs w:val="21"/>
              </w:rPr>
            </w:pPr>
          </w:p>
        </w:tc>
        <w:tc>
          <w:tcPr>
            <w:tcW w:w="1015" w:type="dxa"/>
            <w:vAlign w:val="center"/>
          </w:tcPr>
          <w:p>
            <w:pPr>
              <w:spacing w:line="300" w:lineRule="exact"/>
              <w:jc w:val="center"/>
              <w:rPr>
                <w:b/>
                <w:bCs/>
                <w:color w:val="auto"/>
                <w:sz w:val="21"/>
                <w:szCs w:val="21"/>
              </w:rPr>
            </w:pPr>
          </w:p>
        </w:tc>
        <w:tc>
          <w:tcPr>
            <w:tcW w:w="969" w:type="dxa"/>
            <w:vAlign w:val="center"/>
          </w:tcPr>
          <w:p>
            <w:pPr>
              <w:spacing w:line="300" w:lineRule="exact"/>
              <w:jc w:val="center"/>
              <w:rPr>
                <w:b/>
                <w:bCs/>
                <w:color w:val="auto"/>
                <w:sz w:val="21"/>
                <w:szCs w:val="21"/>
              </w:rPr>
            </w:pPr>
          </w:p>
        </w:tc>
        <w:tc>
          <w:tcPr>
            <w:tcW w:w="992" w:type="dxa"/>
            <w:vAlign w:val="center"/>
          </w:tcPr>
          <w:p>
            <w:pPr>
              <w:spacing w:line="300" w:lineRule="exact"/>
              <w:jc w:val="center"/>
              <w:rPr>
                <w:bCs/>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color w:val="auto"/>
                <w:sz w:val="21"/>
                <w:szCs w:val="21"/>
              </w:rPr>
            </w:pPr>
            <w:r>
              <w:rPr>
                <w:rFonts w:hint="eastAsia"/>
                <w:color w:val="auto"/>
                <w:sz w:val="21"/>
                <w:szCs w:val="21"/>
              </w:rPr>
              <w:t>1</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铺设草坪</w:t>
            </w:r>
            <w:r>
              <w:rPr>
                <w:rFonts w:hint="eastAsia" w:ascii="宋体" w:hAnsi="宋体" w:cs="宋体"/>
                <w:color w:val="auto"/>
                <w:sz w:val="21"/>
                <w:szCs w:val="21"/>
              </w:rPr>
              <w:t>◆</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hm</w:t>
            </w:r>
            <w:r>
              <w:rPr>
                <w:color w:val="auto"/>
                <w:sz w:val="21"/>
                <w:szCs w:val="21"/>
                <w:vertAlign w:val="superscript"/>
              </w:rPr>
              <w:t>2</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w:t>
            </w:r>
          </w:p>
        </w:tc>
        <w:tc>
          <w:tcPr>
            <w:tcW w:w="851" w:type="dxa"/>
            <w:vAlign w:val="center"/>
          </w:tcPr>
          <w:p>
            <w:pPr>
              <w:spacing w:line="300" w:lineRule="exact"/>
              <w:jc w:val="center"/>
              <w:rPr>
                <w:color w:val="auto"/>
                <w:sz w:val="21"/>
                <w:szCs w:val="21"/>
              </w:rPr>
            </w:pPr>
            <w:r>
              <w:rPr>
                <w:rFonts w:hint="eastAsia"/>
                <w:color w:val="auto"/>
                <w:sz w:val="21"/>
                <w:szCs w:val="21"/>
              </w:rPr>
              <w:t>1</w:t>
            </w:r>
            <w:r>
              <w:rPr>
                <w:color w:val="auto"/>
                <w:sz w:val="21"/>
                <w:szCs w:val="21"/>
              </w:rPr>
              <w:t>.60</w:t>
            </w:r>
          </w:p>
        </w:tc>
        <w:tc>
          <w:tcPr>
            <w:tcW w:w="1134" w:type="dxa"/>
            <w:vAlign w:val="center"/>
          </w:tcPr>
          <w:p>
            <w:pPr>
              <w:spacing w:line="300" w:lineRule="exact"/>
              <w:jc w:val="center"/>
              <w:rPr>
                <w:bCs/>
                <w:color w:val="auto"/>
                <w:sz w:val="21"/>
                <w:szCs w:val="21"/>
              </w:rPr>
            </w:pPr>
            <w:r>
              <w:rPr>
                <w:rFonts w:hint="eastAsia"/>
                <w:bCs/>
                <w:color w:val="auto"/>
                <w:sz w:val="21"/>
                <w:szCs w:val="21"/>
              </w:rPr>
              <w:t>/</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rFonts w:hint="eastAsia"/>
                <w:b/>
                <w:bCs/>
                <w:color w:val="auto"/>
                <w:sz w:val="21"/>
                <w:szCs w:val="21"/>
              </w:rPr>
              <w:t>1</w:t>
            </w:r>
            <w:r>
              <w:rPr>
                <w:b/>
                <w:bCs/>
                <w:color w:val="auto"/>
                <w:sz w:val="21"/>
                <w:szCs w:val="21"/>
              </w:rPr>
              <w:t>.60</w:t>
            </w:r>
          </w:p>
        </w:tc>
        <w:tc>
          <w:tcPr>
            <w:tcW w:w="992" w:type="dxa"/>
            <w:vAlign w:val="center"/>
          </w:tcPr>
          <w:p>
            <w:pPr>
              <w:spacing w:line="300" w:lineRule="exact"/>
              <w:jc w:val="center"/>
              <w:rPr>
                <w:bCs/>
                <w:color w:val="auto"/>
                <w:kern w:val="0"/>
                <w:sz w:val="21"/>
                <w:szCs w:val="21"/>
                <w:lang w:bidi="ar"/>
              </w:rPr>
            </w:pPr>
            <w:r>
              <w:rPr>
                <w:rFonts w:hint="eastAsia"/>
                <w:bCs/>
                <w:color w:val="auto"/>
                <w:kern w:val="0"/>
                <w:sz w:val="21"/>
                <w:szCs w:val="21"/>
                <w:lang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87" w:type="dxa"/>
            <w:tcMar>
              <w:top w:w="15" w:type="dxa"/>
              <w:left w:w="15" w:type="dxa"/>
              <w:right w:w="15" w:type="dxa"/>
            </w:tcMar>
            <w:vAlign w:val="center"/>
          </w:tcPr>
          <w:p>
            <w:pPr>
              <w:widowControl/>
              <w:spacing w:line="300" w:lineRule="exact"/>
              <w:jc w:val="center"/>
              <w:textAlignment w:val="bottom"/>
              <w:rPr>
                <w:color w:val="auto"/>
                <w:sz w:val="21"/>
                <w:szCs w:val="21"/>
              </w:rPr>
            </w:pPr>
            <w:r>
              <w:rPr>
                <w:rFonts w:hint="eastAsia"/>
                <w:color w:val="auto"/>
                <w:sz w:val="21"/>
                <w:szCs w:val="21"/>
              </w:rPr>
              <w:t>2</w:t>
            </w:r>
          </w:p>
        </w:tc>
        <w:tc>
          <w:tcPr>
            <w:tcW w:w="1621" w:type="dxa"/>
            <w:tcMar>
              <w:top w:w="15" w:type="dxa"/>
              <w:left w:w="15" w:type="dxa"/>
              <w:right w:w="15" w:type="dxa"/>
            </w:tcMar>
            <w:vAlign w:val="center"/>
          </w:tcPr>
          <w:p>
            <w:pPr>
              <w:widowControl/>
              <w:spacing w:line="300" w:lineRule="exact"/>
              <w:jc w:val="center"/>
              <w:textAlignment w:val="center"/>
              <w:rPr>
                <w:color w:val="auto"/>
                <w:sz w:val="21"/>
                <w:szCs w:val="21"/>
              </w:rPr>
            </w:pPr>
            <w:r>
              <w:rPr>
                <w:rFonts w:hint="eastAsia"/>
                <w:color w:val="auto"/>
                <w:sz w:val="21"/>
                <w:szCs w:val="21"/>
              </w:rPr>
              <w:t>撒播草籽</w:t>
            </w:r>
            <w:r>
              <w:rPr>
                <w:rFonts w:hint="eastAsia" w:ascii="宋体" w:hAnsi="宋体" w:cs="宋体"/>
                <w:color w:val="auto"/>
                <w:sz w:val="21"/>
                <w:szCs w:val="21"/>
              </w:rPr>
              <w:t>◆</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hm</w:t>
            </w:r>
            <w:r>
              <w:rPr>
                <w:color w:val="auto"/>
                <w:sz w:val="21"/>
                <w:szCs w:val="21"/>
                <w:vertAlign w:val="superscript"/>
              </w:rPr>
              <w:t>2</w:t>
            </w:r>
          </w:p>
        </w:tc>
        <w:tc>
          <w:tcPr>
            <w:tcW w:w="992" w:type="dxa"/>
            <w:tcMar>
              <w:top w:w="15" w:type="dxa"/>
              <w:left w:w="15" w:type="dxa"/>
              <w:right w:w="15" w:type="dxa"/>
            </w:tcMar>
            <w:vAlign w:val="center"/>
          </w:tcPr>
          <w:p>
            <w:pPr>
              <w:spacing w:line="300" w:lineRule="exact"/>
              <w:jc w:val="center"/>
              <w:rPr>
                <w:color w:val="auto"/>
                <w:sz w:val="21"/>
                <w:szCs w:val="21"/>
              </w:rPr>
            </w:pPr>
            <w:r>
              <w:rPr>
                <w:rFonts w:hint="eastAsia"/>
                <w:color w:val="auto"/>
                <w:sz w:val="21"/>
                <w:szCs w:val="21"/>
              </w:rPr>
              <w:t>/</w:t>
            </w:r>
          </w:p>
        </w:tc>
        <w:tc>
          <w:tcPr>
            <w:tcW w:w="1134" w:type="dxa"/>
            <w:vAlign w:val="center"/>
          </w:tcPr>
          <w:p>
            <w:pPr>
              <w:spacing w:line="300" w:lineRule="exact"/>
              <w:jc w:val="center"/>
              <w:rPr>
                <w:color w:val="auto"/>
                <w:sz w:val="21"/>
                <w:szCs w:val="21"/>
              </w:rPr>
            </w:pPr>
            <w:r>
              <w:rPr>
                <w:rFonts w:hint="eastAsia"/>
                <w:color w:val="auto"/>
                <w:sz w:val="21"/>
                <w:szCs w:val="21"/>
              </w:rPr>
              <w:t>/</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rFonts w:hint="eastAsia"/>
                <w:bCs/>
                <w:color w:val="auto"/>
                <w:sz w:val="21"/>
                <w:szCs w:val="21"/>
              </w:rPr>
              <w:t>1</w:t>
            </w:r>
            <w:r>
              <w:rPr>
                <w:bCs/>
                <w:color w:val="auto"/>
                <w:sz w:val="21"/>
                <w:szCs w:val="21"/>
              </w:rPr>
              <w:t>.19</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rFonts w:hint="eastAsia"/>
                <w:b/>
                <w:bCs/>
                <w:color w:val="auto"/>
                <w:sz w:val="21"/>
                <w:szCs w:val="21"/>
              </w:rPr>
              <w:t>1</w:t>
            </w:r>
            <w:r>
              <w:rPr>
                <w:b/>
                <w:bCs/>
                <w:color w:val="auto"/>
                <w:sz w:val="21"/>
                <w:szCs w:val="21"/>
              </w:rPr>
              <w:t>.19</w:t>
            </w:r>
          </w:p>
        </w:tc>
        <w:tc>
          <w:tcPr>
            <w:tcW w:w="992" w:type="dxa"/>
            <w:vAlign w:val="center"/>
          </w:tcPr>
          <w:p>
            <w:pPr>
              <w:spacing w:line="300" w:lineRule="exact"/>
              <w:jc w:val="center"/>
              <w:rPr>
                <w:bCs/>
                <w:color w:val="auto"/>
                <w:kern w:val="0"/>
                <w:sz w:val="21"/>
                <w:szCs w:val="21"/>
                <w:lang w:bidi="ar"/>
              </w:rPr>
            </w:pPr>
            <w:r>
              <w:rPr>
                <w:rFonts w:hint="eastAsia"/>
                <w:bCs/>
                <w:color w:val="auto"/>
                <w:kern w:val="0"/>
                <w:sz w:val="21"/>
                <w:szCs w:val="21"/>
                <w:lang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587" w:type="dxa"/>
            <w:tcMar>
              <w:top w:w="15" w:type="dxa"/>
              <w:left w:w="15" w:type="dxa"/>
              <w:right w:w="15" w:type="dxa"/>
            </w:tcMar>
            <w:vAlign w:val="center"/>
          </w:tcPr>
          <w:p>
            <w:pPr>
              <w:widowControl/>
              <w:spacing w:line="300" w:lineRule="exact"/>
              <w:jc w:val="center"/>
              <w:textAlignment w:val="bottom"/>
              <w:rPr>
                <w:b/>
                <w:color w:val="auto"/>
                <w:sz w:val="21"/>
                <w:szCs w:val="21"/>
              </w:rPr>
            </w:pPr>
            <w:r>
              <w:rPr>
                <w:rFonts w:hint="eastAsia"/>
                <w:b/>
                <w:color w:val="auto"/>
                <w:sz w:val="21"/>
                <w:szCs w:val="21"/>
              </w:rPr>
              <w:t>Ⅲ</w:t>
            </w:r>
          </w:p>
        </w:tc>
        <w:tc>
          <w:tcPr>
            <w:tcW w:w="1621" w:type="dxa"/>
            <w:tcMar>
              <w:top w:w="15" w:type="dxa"/>
              <w:left w:w="15" w:type="dxa"/>
              <w:right w:w="15" w:type="dxa"/>
            </w:tcMar>
            <w:vAlign w:val="center"/>
          </w:tcPr>
          <w:p>
            <w:pPr>
              <w:widowControl/>
              <w:spacing w:line="300" w:lineRule="exact"/>
              <w:jc w:val="center"/>
              <w:textAlignment w:val="center"/>
              <w:rPr>
                <w:bCs/>
                <w:color w:val="auto"/>
                <w:sz w:val="21"/>
                <w:szCs w:val="21"/>
              </w:rPr>
            </w:pPr>
            <w:r>
              <w:rPr>
                <w:b/>
                <w:color w:val="auto"/>
                <w:sz w:val="21"/>
                <w:szCs w:val="21"/>
              </w:rPr>
              <w:t>第</w:t>
            </w:r>
            <w:r>
              <w:rPr>
                <w:rFonts w:hint="eastAsia"/>
                <w:b/>
                <w:color w:val="auto"/>
                <w:sz w:val="21"/>
                <w:szCs w:val="21"/>
              </w:rPr>
              <w:t>三</w:t>
            </w:r>
            <w:r>
              <w:rPr>
                <w:b/>
                <w:color w:val="auto"/>
                <w:sz w:val="21"/>
                <w:szCs w:val="21"/>
              </w:rPr>
              <w:t>部分：</w:t>
            </w:r>
            <w:r>
              <w:rPr>
                <w:rFonts w:hint="eastAsia"/>
                <w:b/>
                <w:color w:val="auto"/>
                <w:sz w:val="21"/>
                <w:szCs w:val="21"/>
              </w:rPr>
              <w:t>临时</w:t>
            </w:r>
            <w:r>
              <w:rPr>
                <w:b/>
                <w:color w:val="auto"/>
                <w:sz w:val="21"/>
                <w:szCs w:val="21"/>
              </w:rPr>
              <w:t>措施</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p>
        </w:tc>
        <w:tc>
          <w:tcPr>
            <w:tcW w:w="992" w:type="dxa"/>
            <w:tcMar>
              <w:top w:w="15" w:type="dxa"/>
              <w:left w:w="15" w:type="dxa"/>
              <w:right w:w="15" w:type="dxa"/>
            </w:tcMar>
            <w:vAlign w:val="center"/>
          </w:tcPr>
          <w:p>
            <w:pPr>
              <w:spacing w:line="300" w:lineRule="exact"/>
              <w:jc w:val="center"/>
              <w:rPr>
                <w:b/>
                <w:color w:val="auto"/>
                <w:sz w:val="21"/>
                <w:szCs w:val="21"/>
              </w:rPr>
            </w:pPr>
          </w:p>
        </w:tc>
        <w:tc>
          <w:tcPr>
            <w:tcW w:w="1134" w:type="dxa"/>
            <w:vAlign w:val="center"/>
          </w:tcPr>
          <w:p>
            <w:pPr>
              <w:spacing w:line="300" w:lineRule="exact"/>
              <w:jc w:val="center"/>
              <w:rPr>
                <w:b/>
                <w:color w:val="auto"/>
                <w:sz w:val="21"/>
                <w:szCs w:val="21"/>
              </w:rPr>
            </w:pPr>
          </w:p>
        </w:tc>
        <w:tc>
          <w:tcPr>
            <w:tcW w:w="851" w:type="dxa"/>
            <w:vAlign w:val="center"/>
          </w:tcPr>
          <w:p>
            <w:pPr>
              <w:spacing w:line="300" w:lineRule="exact"/>
              <w:jc w:val="center"/>
              <w:rPr>
                <w:b/>
                <w:bCs/>
                <w:color w:val="auto"/>
                <w:sz w:val="21"/>
                <w:szCs w:val="21"/>
              </w:rPr>
            </w:pPr>
          </w:p>
        </w:tc>
        <w:tc>
          <w:tcPr>
            <w:tcW w:w="1134" w:type="dxa"/>
            <w:vAlign w:val="center"/>
          </w:tcPr>
          <w:p>
            <w:pPr>
              <w:spacing w:line="300" w:lineRule="exact"/>
              <w:jc w:val="center"/>
              <w:rPr>
                <w:bCs/>
                <w:color w:val="auto"/>
                <w:sz w:val="21"/>
                <w:szCs w:val="21"/>
              </w:rPr>
            </w:pPr>
          </w:p>
        </w:tc>
        <w:tc>
          <w:tcPr>
            <w:tcW w:w="1015" w:type="dxa"/>
            <w:vAlign w:val="center"/>
          </w:tcPr>
          <w:p>
            <w:pPr>
              <w:spacing w:line="300" w:lineRule="exact"/>
              <w:jc w:val="center"/>
              <w:rPr>
                <w:b/>
                <w:bCs/>
                <w:color w:val="auto"/>
                <w:sz w:val="21"/>
                <w:szCs w:val="21"/>
              </w:rPr>
            </w:pPr>
          </w:p>
        </w:tc>
        <w:tc>
          <w:tcPr>
            <w:tcW w:w="969" w:type="dxa"/>
            <w:vAlign w:val="center"/>
          </w:tcPr>
          <w:p>
            <w:pPr>
              <w:spacing w:line="300" w:lineRule="exact"/>
              <w:jc w:val="center"/>
              <w:rPr>
                <w:b/>
                <w:bCs/>
                <w:color w:val="auto"/>
                <w:sz w:val="21"/>
                <w:szCs w:val="21"/>
              </w:rPr>
            </w:pPr>
          </w:p>
        </w:tc>
        <w:tc>
          <w:tcPr>
            <w:tcW w:w="992" w:type="dxa"/>
            <w:vAlign w:val="center"/>
          </w:tcPr>
          <w:p>
            <w:pPr>
              <w:spacing w:line="300" w:lineRule="exact"/>
              <w:jc w:val="center"/>
              <w:rPr>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exact"/>
          <w:jc w:val="center"/>
        </w:trPr>
        <w:tc>
          <w:tcPr>
            <w:tcW w:w="587" w:type="dxa"/>
            <w:tcMar>
              <w:top w:w="15" w:type="dxa"/>
              <w:left w:w="15" w:type="dxa"/>
              <w:right w:w="15" w:type="dxa"/>
            </w:tcMar>
            <w:vAlign w:val="center"/>
          </w:tcPr>
          <w:p>
            <w:pPr>
              <w:widowControl/>
              <w:spacing w:line="300" w:lineRule="exact"/>
              <w:jc w:val="center"/>
              <w:textAlignment w:val="bottom"/>
              <w:rPr>
                <w:bCs/>
                <w:color w:val="auto"/>
                <w:sz w:val="21"/>
                <w:szCs w:val="21"/>
              </w:rPr>
            </w:pPr>
            <w:r>
              <w:rPr>
                <w:bCs/>
                <w:color w:val="auto"/>
                <w:sz w:val="21"/>
                <w:szCs w:val="21"/>
              </w:rPr>
              <w:t>1</w:t>
            </w:r>
          </w:p>
        </w:tc>
        <w:tc>
          <w:tcPr>
            <w:tcW w:w="1621" w:type="dxa"/>
            <w:tcMar>
              <w:top w:w="15" w:type="dxa"/>
              <w:left w:w="15" w:type="dxa"/>
              <w:right w:w="15" w:type="dxa"/>
            </w:tcMar>
            <w:vAlign w:val="center"/>
          </w:tcPr>
          <w:p>
            <w:pPr>
              <w:widowControl/>
              <w:spacing w:line="300" w:lineRule="exact"/>
              <w:jc w:val="center"/>
              <w:textAlignment w:val="center"/>
              <w:rPr>
                <w:bCs/>
                <w:color w:val="auto"/>
                <w:sz w:val="21"/>
                <w:szCs w:val="21"/>
              </w:rPr>
            </w:pPr>
            <w:r>
              <w:rPr>
                <w:rFonts w:hint="eastAsia"/>
                <w:bCs/>
                <w:color w:val="auto"/>
                <w:sz w:val="21"/>
                <w:szCs w:val="21"/>
              </w:rPr>
              <w:t>临时苫盖及拆除</w:t>
            </w:r>
            <w:r>
              <w:rPr>
                <w:rFonts w:hint="eastAsia" w:ascii="宋体" w:hAnsi="宋体" w:cs="宋体"/>
                <w:color w:val="auto"/>
                <w:sz w:val="21"/>
                <w:szCs w:val="21"/>
              </w:rPr>
              <w:t>◆</w:t>
            </w:r>
          </w:p>
        </w:tc>
        <w:tc>
          <w:tcPr>
            <w:tcW w:w="851" w:type="dxa"/>
            <w:tcMar>
              <w:top w:w="15" w:type="dxa"/>
              <w:left w:w="15" w:type="dxa"/>
              <w:right w:w="15" w:type="dxa"/>
            </w:tcMar>
            <w:vAlign w:val="center"/>
          </w:tcPr>
          <w:p>
            <w:pPr>
              <w:widowControl/>
              <w:spacing w:line="300" w:lineRule="exact"/>
              <w:jc w:val="center"/>
              <w:textAlignment w:val="center"/>
              <w:rPr>
                <w:color w:val="auto"/>
                <w:sz w:val="21"/>
                <w:szCs w:val="21"/>
              </w:rPr>
            </w:pPr>
            <w:r>
              <w:rPr>
                <w:color w:val="auto"/>
                <w:sz w:val="21"/>
                <w:szCs w:val="21"/>
              </w:rPr>
              <w:t>m</w:t>
            </w:r>
            <w:r>
              <w:rPr>
                <w:color w:val="auto"/>
                <w:sz w:val="21"/>
                <w:szCs w:val="21"/>
                <w:vertAlign w:val="superscript"/>
              </w:rPr>
              <w:t>2</w:t>
            </w:r>
          </w:p>
        </w:tc>
        <w:tc>
          <w:tcPr>
            <w:tcW w:w="992" w:type="dxa"/>
            <w:tcMar>
              <w:top w:w="15" w:type="dxa"/>
              <w:left w:w="15" w:type="dxa"/>
              <w:right w:w="15" w:type="dxa"/>
            </w:tcMar>
            <w:vAlign w:val="center"/>
          </w:tcPr>
          <w:p>
            <w:pPr>
              <w:spacing w:line="300" w:lineRule="exact"/>
              <w:jc w:val="center"/>
              <w:rPr>
                <w:bCs/>
                <w:color w:val="auto"/>
                <w:sz w:val="21"/>
                <w:szCs w:val="21"/>
              </w:rPr>
            </w:pPr>
            <w:r>
              <w:rPr>
                <w:bCs/>
                <w:color w:val="auto"/>
                <w:sz w:val="21"/>
                <w:szCs w:val="21"/>
              </w:rPr>
              <w:t>5200</w:t>
            </w:r>
          </w:p>
        </w:tc>
        <w:tc>
          <w:tcPr>
            <w:tcW w:w="1134" w:type="dxa"/>
            <w:vAlign w:val="center"/>
          </w:tcPr>
          <w:p>
            <w:pPr>
              <w:spacing w:line="300" w:lineRule="exact"/>
              <w:jc w:val="center"/>
              <w:rPr>
                <w:color w:val="auto"/>
                <w:sz w:val="21"/>
                <w:szCs w:val="21"/>
              </w:rPr>
            </w:pPr>
            <w:r>
              <w:rPr>
                <w:rFonts w:hint="eastAsia"/>
                <w:color w:val="auto"/>
                <w:sz w:val="21"/>
                <w:szCs w:val="21"/>
              </w:rPr>
              <w:t>/</w:t>
            </w:r>
          </w:p>
        </w:tc>
        <w:tc>
          <w:tcPr>
            <w:tcW w:w="851" w:type="dxa"/>
            <w:vAlign w:val="center"/>
          </w:tcPr>
          <w:p>
            <w:pPr>
              <w:spacing w:line="300" w:lineRule="exact"/>
              <w:jc w:val="center"/>
              <w:rPr>
                <w:b/>
                <w:bCs/>
                <w:color w:val="auto"/>
                <w:sz w:val="21"/>
                <w:szCs w:val="21"/>
              </w:rPr>
            </w:pPr>
            <w:r>
              <w:rPr>
                <w:rFonts w:hint="eastAsia"/>
                <w:b/>
                <w:bCs/>
                <w:color w:val="auto"/>
                <w:sz w:val="21"/>
                <w:szCs w:val="21"/>
              </w:rPr>
              <w:t>/</w:t>
            </w:r>
          </w:p>
        </w:tc>
        <w:tc>
          <w:tcPr>
            <w:tcW w:w="1134" w:type="dxa"/>
            <w:vAlign w:val="center"/>
          </w:tcPr>
          <w:p>
            <w:pPr>
              <w:spacing w:line="300" w:lineRule="exact"/>
              <w:jc w:val="center"/>
              <w:rPr>
                <w:bCs/>
                <w:color w:val="auto"/>
                <w:sz w:val="21"/>
                <w:szCs w:val="21"/>
              </w:rPr>
            </w:pPr>
            <w:r>
              <w:rPr>
                <w:bCs/>
                <w:color w:val="auto"/>
                <w:sz w:val="21"/>
                <w:szCs w:val="21"/>
              </w:rPr>
              <w:t>38600</w:t>
            </w:r>
          </w:p>
        </w:tc>
        <w:tc>
          <w:tcPr>
            <w:tcW w:w="1015" w:type="dxa"/>
            <w:vAlign w:val="center"/>
          </w:tcPr>
          <w:p>
            <w:pPr>
              <w:spacing w:line="300" w:lineRule="exact"/>
              <w:jc w:val="center"/>
              <w:rPr>
                <w:b/>
                <w:bCs/>
                <w:color w:val="auto"/>
                <w:sz w:val="21"/>
                <w:szCs w:val="21"/>
              </w:rPr>
            </w:pPr>
            <w:r>
              <w:rPr>
                <w:rFonts w:hint="eastAsia"/>
                <w:b/>
                <w:bCs/>
                <w:color w:val="auto"/>
                <w:sz w:val="21"/>
                <w:szCs w:val="21"/>
              </w:rPr>
              <w:t>/</w:t>
            </w:r>
          </w:p>
        </w:tc>
        <w:tc>
          <w:tcPr>
            <w:tcW w:w="969" w:type="dxa"/>
            <w:vAlign w:val="center"/>
          </w:tcPr>
          <w:p>
            <w:pPr>
              <w:spacing w:line="300" w:lineRule="exact"/>
              <w:jc w:val="center"/>
              <w:rPr>
                <w:b/>
                <w:bCs/>
                <w:color w:val="auto"/>
                <w:sz w:val="21"/>
                <w:szCs w:val="21"/>
              </w:rPr>
            </w:pPr>
            <w:r>
              <w:rPr>
                <w:b/>
                <w:bCs/>
                <w:color w:val="auto"/>
                <w:sz w:val="21"/>
                <w:szCs w:val="21"/>
              </w:rPr>
              <w:t>43800</w:t>
            </w:r>
          </w:p>
        </w:tc>
        <w:tc>
          <w:tcPr>
            <w:tcW w:w="992" w:type="dxa"/>
            <w:vAlign w:val="center"/>
          </w:tcPr>
          <w:p>
            <w:pPr>
              <w:spacing w:line="300" w:lineRule="exact"/>
              <w:jc w:val="center"/>
              <w:rPr>
                <w:color w:val="auto"/>
                <w:sz w:val="21"/>
                <w:szCs w:val="21"/>
              </w:rPr>
            </w:pPr>
            <w:r>
              <w:rPr>
                <w:rFonts w:hint="eastAsia"/>
                <w:bCs/>
                <w:color w:val="auto"/>
                <w:kern w:val="0"/>
                <w:sz w:val="21"/>
                <w:szCs w:val="21"/>
                <w:lang w:bidi="ar"/>
              </w:rPr>
              <w:t>已实施</w:t>
            </w:r>
          </w:p>
        </w:tc>
      </w:tr>
    </w:tbl>
    <w:p>
      <w:pPr>
        <w:tabs>
          <w:tab w:val="left" w:pos="2184"/>
        </w:tabs>
        <w:jc w:val="left"/>
        <w:textAlignment w:val="baseline"/>
        <w:rPr>
          <w:color w:val="auto"/>
          <w:kern w:val="0"/>
          <w:sz w:val="21"/>
          <w:szCs w:val="21"/>
          <w:lang w:bidi="ar"/>
        </w:rPr>
      </w:pPr>
      <w:r>
        <w:rPr>
          <w:color w:val="auto"/>
          <w:kern w:val="0"/>
          <w:sz w:val="22"/>
          <w:szCs w:val="22"/>
          <w:lang w:bidi="ar"/>
        </w:rPr>
        <w:t xml:space="preserve">     </w:t>
      </w:r>
      <w:r>
        <w:rPr>
          <w:color w:val="auto"/>
          <w:kern w:val="0"/>
          <w:sz w:val="21"/>
          <w:szCs w:val="21"/>
          <w:lang w:bidi="ar"/>
        </w:rPr>
        <w:t>注：</w:t>
      </w:r>
      <w:r>
        <w:rPr>
          <w:rFonts w:hint="eastAsia"/>
          <w:color w:val="auto"/>
          <w:kern w:val="0"/>
          <w:sz w:val="21"/>
          <w:szCs w:val="21"/>
          <w:lang w:bidi="ar"/>
        </w:rPr>
        <w:t>“</w:t>
      </w:r>
      <w:r>
        <w:rPr>
          <w:rFonts w:hint="eastAsia" w:ascii="宋体" w:hAnsi="宋体" w:cs="宋体"/>
          <w:color w:val="auto"/>
          <w:kern w:val="0"/>
          <w:sz w:val="21"/>
          <w:szCs w:val="21"/>
          <w:lang w:bidi="ar"/>
        </w:rPr>
        <w:t>◆</w:t>
      </w:r>
      <w:r>
        <w:rPr>
          <w:rFonts w:hint="eastAsia"/>
          <w:color w:val="auto"/>
          <w:kern w:val="0"/>
          <w:sz w:val="21"/>
          <w:szCs w:val="21"/>
          <w:lang w:bidi="ar"/>
        </w:rPr>
        <w:t>”</w:t>
      </w:r>
      <w:r>
        <w:rPr>
          <w:color w:val="auto"/>
          <w:kern w:val="0"/>
          <w:sz w:val="21"/>
          <w:szCs w:val="21"/>
          <w:lang w:bidi="ar"/>
        </w:rPr>
        <w:t>表示主体工程已有措施</w:t>
      </w:r>
      <w:r>
        <w:rPr>
          <w:rFonts w:hint="eastAsia"/>
          <w:bCs/>
          <w:color w:val="auto"/>
          <w:sz w:val="21"/>
          <w:szCs w:val="21"/>
        </w:rPr>
        <w:t>。</w:t>
      </w:r>
    </w:p>
    <w:p>
      <w:pPr>
        <w:spacing w:line="360" w:lineRule="auto"/>
        <w:contextualSpacing/>
        <w:outlineLvl w:val="1"/>
        <w:rPr>
          <w:b/>
          <w:bCs/>
          <w:color w:val="auto"/>
          <w:sz w:val="30"/>
          <w:szCs w:val="30"/>
        </w:rPr>
      </w:pPr>
      <w:bookmarkStart w:id="150" w:name="_Toc163313987"/>
      <w:bookmarkStart w:id="151" w:name="_Toc170548485"/>
      <w:bookmarkStart w:id="152" w:name="_Toc388559887"/>
      <w:bookmarkStart w:id="153" w:name="_Toc170548483"/>
      <w:bookmarkStart w:id="154" w:name="_Toc168570098"/>
      <w:bookmarkStart w:id="155" w:name="_Toc145530068"/>
      <w:r>
        <w:rPr>
          <w:b/>
          <w:bCs/>
          <w:color w:val="auto"/>
          <w:sz w:val="30"/>
          <w:szCs w:val="30"/>
        </w:rPr>
        <w:t>5.</w:t>
      </w:r>
      <w:bookmarkEnd w:id="150"/>
      <w:bookmarkEnd w:id="151"/>
      <w:bookmarkEnd w:id="152"/>
      <w:bookmarkEnd w:id="153"/>
      <w:bookmarkEnd w:id="154"/>
      <w:r>
        <w:rPr>
          <w:b/>
          <w:bCs/>
          <w:color w:val="auto"/>
          <w:sz w:val="30"/>
          <w:szCs w:val="30"/>
        </w:rPr>
        <w:t>5施工要求</w:t>
      </w:r>
      <w:bookmarkEnd w:id="155"/>
    </w:p>
    <w:p>
      <w:pPr>
        <w:spacing w:line="360" w:lineRule="auto"/>
        <w:contextualSpacing/>
        <w:outlineLvl w:val="2"/>
        <w:rPr>
          <w:b/>
          <w:bCs/>
          <w:color w:val="auto"/>
          <w:sz w:val="28"/>
          <w:szCs w:val="28"/>
        </w:rPr>
      </w:pPr>
      <w:r>
        <w:rPr>
          <w:b/>
          <w:bCs/>
          <w:color w:val="auto"/>
          <w:sz w:val="28"/>
          <w:szCs w:val="28"/>
        </w:rPr>
        <w:t>5.5.1施工组织要求</w:t>
      </w:r>
    </w:p>
    <w:p>
      <w:pPr>
        <w:adjustRightInd w:val="0"/>
        <w:snapToGrid w:val="0"/>
        <w:spacing w:line="360" w:lineRule="auto"/>
        <w:ind w:firstLine="480" w:firstLineChars="200"/>
        <w:contextualSpacing/>
        <w:rPr>
          <w:color w:val="auto"/>
          <w:sz w:val="24"/>
        </w:rPr>
      </w:pPr>
      <w:r>
        <w:rPr>
          <w:color w:val="auto"/>
          <w:sz w:val="24"/>
        </w:rPr>
        <w:t>1、施工方法应明确实施水土保持各单项措施所采用的方法</w:t>
      </w:r>
      <w:r>
        <w:rPr>
          <w:rFonts w:hint="eastAsia"/>
          <w:color w:val="auto"/>
          <w:sz w:val="24"/>
        </w:rPr>
        <w:t>。</w:t>
      </w:r>
    </w:p>
    <w:p>
      <w:pPr>
        <w:adjustRightInd w:val="0"/>
        <w:snapToGrid w:val="0"/>
        <w:spacing w:line="360" w:lineRule="auto"/>
        <w:ind w:firstLine="480" w:firstLineChars="200"/>
        <w:contextualSpacing/>
        <w:rPr>
          <w:color w:val="auto"/>
          <w:sz w:val="24"/>
        </w:rPr>
      </w:pPr>
      <w:r>
        <w:rPr>
          <w:color w:val="auto"/>
          <w:sz w:val="24"/>
        </w:rPr>
        <w:t>2、施工进度安排应符合下列规定</w:t>
      </w:r>
      <w:r>
        <w:rPr>
          <w:rFonts w:hint="eastAsia"/>
          <w:color w:val="auto"/>
          <w:sz w:val="24"/>
        </w:rPr>
        <w:t>：</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①</w:t>
      </w:r>
      <w:r>
        <w:rPr>
          <w:color w:val="auto"/>
          <w:sz w:val="24"/>
        </w:rPr>
        <w:t>应与主体工程施工进度相协调，明确与主体单项工程施工相对应的进度安排；</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②</w:t>
      </w:r>
      <w:r>
        <w:rPr>
          <w:color w:val="auto"/>
          <w:sz w:val="24"/>
        </w:rPr>
        <w:t>临时措施应与主体工程施工同步实施；</w:t>
      </w:r>
    </w:p>
    <w:p>
      <w:pPr>
        <w:adjustRightInd w:val="0"/>
        <w:snapToGrid w:val="0"/>
        <w:spacing w:line="360" w:lineRule="auto"/>
        <w:ind w:firstLine="480" w:firstLineChars="200"/>
        <w:contextualSpacing/>
        <w:rPr>
          <w:color w:val="auto"/>
          <w:sz w:val="24"/>
        </w:rPr>
      </w:pPr>
      <w:r>
        <w:rPr>
          <w:rFonts w:hint="eastAsia" w:ascii="宋体" w:hAnsi="宋体" w:eastAsia="宋体" w:cs="宋体"/>
          <w:color w:val="auto"/>
          <w:sz w:val="24"/>
        </w:rPr>
        <w:t>③</w:t>
      </w:r>
      <w:r>
        <w:rPr>
          <w:color w:val="auto"/>
          <w:sz w:val="24"/>
        </w:rPr>
        <w:t>施工裸露场地应及时采取防护措施，减少裸露时间</w:t>
      </w:r>
      <w:r>
        <w:rPr>
          <w:rFonts w:hint="eastAsia"/>
          <w:color w:val="auto"/>
          <w:sz w:val="24"/>
        </w:rPr>
        <w:t>。</w:t>
      </w:r>
    </w:p>
    <w:p>
      <w:pPr>
        <w:spacing w:line="360" w:lineRule="auto"/>
        <w:contextualSpacing/>
        <w:outlineLvl w:val="2"/>
        <w:rPr>
          <w:b/>
          <w:bCs/>
          <w:color w:val="auto"/>
          <w:sz w:val="28"/>
          <w:szCs w:val="28"/>
        </w:rPr>
      </w:pPr>
      <w:r>
        <w:rPr>
          <w:b/>
          <w:bCs/>
          <w:color w:val="auto"/>
          <w:sz w:val="28"/>
          <w:szCs w:val="28"/>
        </w:rPr>
        <w:t>5.5.2施工条件</w:t>
      </w:r>
    </w:p>
    <w:p>
      <w:pPr>
        <w:pStyle w:val="11"/>
        <w:adjustRightInd w:val="0"/>
        <w:snapToGrid w:val="0"/>
        <w:spacing w:after="0" w:line="360" w:lineRule="auto"/>
        <w:ind w:firstLine="480" w:firstLineChars="200"/>
        <w:contextualSpacing/>
        <w:rPr>
          <w:color w:val="auto"/>
          <w:sz w:val="24"/>
        </w:rPr>
      </w:pPr>
      <w:r>
        <w:rPr>
          <w:color w:val="auto"/>
          <w:sz w:val="24"/>
        </w:rPr>
        <w:t>（1）施工交通、用水、用电</w:t>
      </w:r>
    </w:p>
    <w:p>
      <w:pPr>
        <w:pStyle w:val="11"/>
        <w:adjustRightInd w:val="0"/>
        <w:snapToGrid w:val="0"/>
        <w:spacing w:after="0" w:line="360" w:lineRule="auto"/>
        <w:ind w:firstLine="480" w:firstLineChars="200"/>
        <w:contextualSpacing/>
        <w:rPr>
          <w:color w:val="auto"/>
          <w:sz w:val="24"/>
        </w:rPr>
      </w:pPr>
      <w:r>
        <w:rPr>
          <w:color w:val="auto"/>
          <w:sz w:val="24"/>
        </w:rPr>
        <w:t>本项目水土保持施工完全可以利用主体工程道路；施工用水、用电直接使用主体施工的用水和用电。</w:t>
      </w:r>
    </w:p>
    <w:p>
      <w:pPr>
        <w:pStyle w:val="11"/>
        <w:adjustRightInd w:val="0"/>
        <w:snapToGrid w:val="0"/>
        <w:spacing w:after="0" w:line="360" w:lineRule="auto"/>
        <w:ind w:firstLine="480" w:firstLineChars="200"/>
        <w:contextualSpacing/>
        <w:rPr>
          <w:color w:val="auto"/>
          <w:sz w:val="24"/>
        </w:rPr>
      </w:pPr>
      <w:r>
        <w:rPr>
          <w:color w:val="auto"/>
          <w:sz w:val="24"/>
        </w:rPr>
        <w:t>（2）施工布置</w:t>
      </w:r>
    </w:p>
    <w:p>
      <w:pPr>
        <w:pStyle w:val="11"/>
        <w:adjustRightInd w:val="0"/>
        <w:snapToGrid w:val="0"/>
        <w:spacing w:after="0" w:line="360" w:lineRule="auto"/>
        <w:ind w:firstLine="480" w:firstLineChars="200"/>
        <w:contextualSpacing/>
        <w:rPr>
          <w:color w:val="auto"/>
          <w:sz w:val="24"/>
        </w:rPr>
      </w:pPr>
      <w:r>
        <w:rPr>
          <w:color w:val="auto"/>
          <w:sz w:val="24"/>
        </w:rPr>
        <w:t>水土保持工程施工材料仓储利用主体工程的施工生产区</w:t>
      </w:r>
      <w:r>
        <w:rPr>
          <w:rFonts w:hint="eastAsia"/>
          <w:color w:val="auto"/>
          <w:sz w:val="24"/>
        </w:rPr>
        <w:t>，</w:t>
      </w:r>
      <w:r>
        <w:rPr>
          <w:color w:val="auto"/>
          <w:sz w:val="24"/>
        </w:rPr>
        <w:t>可满足要求。</w:t>
      </w:r>
    </w:p>
    <w:p>
      <w:pPr>
        <w:pStyle w:val="11"/>
        <w:adjustRightInd w:val="0"/>
        <w:snapToGrid w:val="0"/>
        <w:spacing w:after="0" w:line="360" w:lineRule="auto"/>
        <w:ind w:firstLine="480" w:firstLineChars="200"/>
        <w:contextualSpacing/>
        <w:rPr>
          <w:color w:val="auto"/>
          <w:sz w:val="24"/>
        </w:rPr>
      </w:pPr>
      <w:r>
        <w:rPr>
          <w:color w:val="auto"/>
          <w:sz w:val="24"/>
        </w:rPr>
        <w:t>（3）施工材料来源</w:t>
      </w:r>
    </w:p>
    <w:p>
      <w:pPr>
        <w:pStyle w:val="11"/>
        <w:adjustRightInd w:val="0"/>
        <w:snapToGrid w:val="0"/>
        <w:spacing w:after="0" w:line="360" w:lineRule="auto"/>
        <w:ind w:firstLine="480" w:firstLineChars="200"/>
        <w:contextualSpacing/>
        <w:rPr>
          <w:color w:val="auto"/>
          <w:sz w:val="24"/>
        </w:rPr>
      </w:pPr>
      <w:r>
        <w:rPr>
          <w:color w:val="auto"/>
          <w:sz w:val="24"/>
        </w:rPr>
        <w:t>本项目位于</w:t>
      </w:r>
      <w:r>
        <w:rPr>
          <w:rFonts w:hint="eastAsia"/>
          <w:color w:val="auto"/>
          <w:sz w:val="24"/>
        </w:rPr>
        <w:t>鸡西市麻山区</w:t>
      </w:r>
      <w:r>
        <w:rPr>
          <w:color w:val="auto"/>
          <w:sz w:val="24"/>
        </w:rPr>
        <w:t>，水土保持所需的</w:t>
      </w:r>
      <w:r>
        <w:rPr>
          <w:rFonts w:hint="eastAsia"/>
          <w:color w:val="auto"/>
          <w:sz w:val="24"/>
        </w:rPr>
        <w:t>苫布</w:t>
      </w:r>
      <w:r>
        <w:rPr>
          <w:color w:val="auto"/>
          <w:sz w:val="24"/>
        </w:rPr>
        <w:t>等材料可直接在当地采购。</w:t>
      </w:r>
    </w:p>
    <w:p>
      <w:pPr>
        <w:spacing w:line="360" w:lineRule="auto"/>
        <w:contextualSpacing/>
        <w:outlineLvl w:val="2"/>
        <w:rPr>
          <w:b/>
          <w:bCs/>
          <w:color w:val="auto"/>
          <w:sz w:val="28"/>
          <w:szCs w:val="28"/>
        </w:rPr>
      </w:pPr>
      <w:r>
        <w:rPr>
          <w:b/>
          <w:bCs/>
          <w:color w:val="auto"/>
          <w:sz w:val="28"/>
          <w:szCs w:val="28"/>
        </w:rPr>
        <w:t>5.5.3施工方法</w:t>
      </w:r>
    </w:p>
    <w:p>
      <w:pPr>
        <w:adjustRightInd w:val="0"/>
        <w:snapToGrid w:val="0"/>
        <w:spacing w:line="360" w:lineRule="auto"/>
        <w:ind w:firstLine="480" w:firstLineChars="200"/>
        <w:contextualSpacing/>
        <w:rPr>
          <w:color w:val="auto"/>
          <w:sz w:val="24"/>
        </w:rPr>
      </w:pPr>
      <w:r>
        <w:rPr>
          <w:color w:val="auto"/>
          <w:sz w:val="24"/>
        </w:rPr>
        <w:t>本方案防治措施主要有工程措施、临时措施，不同的措施其施工组织形式不同，应区别对待。</w:t>
      </w:r>
    </w:p>
    <w:p>
      <w:pPr>
        <w:adjustRightInd w:val="0"/>
        <w:snapToGrid w:val="0"/>
        <w:spacing w:line="360" w:lineRule="auto"/>
        <w:ind w:firstLine="480" w:firstLineChars="200"/>
        <w:contextualSpacing/>
        <w:rPr>
          <w:color w:val="auto"/>
          <w:sz w:val="24"/>
        </w:rPr>
      </w:pPr>
      <w:r>
        <w:rPr>
          <w:color w:val="auto"/>
          <w:sz w:val="24"/>
        </w:rPr>
        <w:t>(1)工程措施</w:t>
      </w:r>
    </w:p>
    <w:p>
      <w:pPr>
        <w:adjustRightInd w:val="0"/>
        <w:snapToGrid w:val="0"/>
        <w:spacing w:line="360" w:lineRule="auto"/>
        <w:ind w:firstLine="480" w:firstLineChars="200"/>
        <w:contextualSpacing/>
        <w:rPr>
          <w:color w:val="auto"/>
          <w:sz w:val="24"/>
        </w:rPr>
      </w:pPr>
      <w:r>
        <w:rPr>
          <w:color w:val="auto"/>
          <w:sz w:val="24"/>
        </w:rPr>
        <w:t>施工时应根据各防治区域具体的工程措施合理安排各施工工序，减少或避免各工序间的相互干扰。</w:t>
      </w:r>
    </w:p>
    <w:p>
      <w:pPr>
        <w:adjustRightInd w:val="0"/>
        <w:snapToGrid w:val="0"/>
        <w:spacing w:line="360" w:lineRule="auto"/>
        <w:ind w:firstLine="480" w:firstLineChars="200"/>
        <w:contextualSpacing/>
        <w:rPr>
          <w:color w:val="auto"/>
          <w:sz w:val="24"/>
        </w:rPr>
      </w:pPr>
      <w:r>
        <w:rPr>
          <w:color w:val="auto"/>
          <w:sz w:val="24"/>
        </w:rPr>
        <w:t>(2)临时措施</w:t>
      </w:r>
    </w:p>
    <w:p>
      <w:pPr>
        <w:adjustRightInd w:val="0"/>
        <w:snapToGrid w:val="0"/>
        <w:spacing w:line="360" w:lineRule="auto"/>
        <w:ind w:firstLine="480" w:firstLineChars="200"/>
        <w:contextualSpacing/>
        <w:rPr>
          <w:color w:val="auto"/>
          <w:sz w:val="24"/>
        </w:rPr>
      </w:pPr>
      <w:r>
        <w:rPr>
          <w:rFonts w:hint="eastAsia"/>
          <w:color w:val="auto"/>
          <w:sz w:val="24"/>
        </w:rPr>
        <w:t>苫布</w:t>
      </w:r>
      <w:r>
        <w:rPr>
          <w:color w:val="auto"/>
          <w:sz w:val="24"/>
        </w:rPr>
        <w:t>遮盖施工时，每块布与布之间要重叠10cm，重叠处用土或砖、石压住，避免被风吹散。</w:t>
      </w:r>
    </w:p>
    <w:p>
      <w:pPr>
        <w:spacing w:line="360" w:lineRule="auto"/>
        <w:contextualSpacing/>
        <w:outlineLvl w:val="2"/>
        <w:rPr>
          <w:b/>
          <w:bCs/>
          <w:color w:val="auto"/>
          <w:sz w:val="28"/>
          <w:szCs w:val="28"/>
        </w:rPr>
      </w:pPr>
      <w:r>
        <w:rPr>
          <w:b/>
          <w:bCs/>
          <w:color w:val="auto"/>
          <w:sz w:val="28"/>
          <w:szCs w:val="28"/>
        </w:rPr>
        <w:t>5.5.4 施工质量要求</w:t>
      </w:r>
    </w:p>
    <w:p>
      <w:pPr>
        <w:adjustRightInd w:val="0"/>
        <w:snapToGrid w:val="0"/>
        <w:spacing w:line="360" w:lineRule="auto"/>
        <w:ind w:firstLine="480" w:firstLineChars="200"/>
        <w:contextualSpacing/>
        <w:rPr>
          <w:color w:val="auto"/>
          <w:sz w:val="24"/>
        </w:rPr>
      </w:pPr>
      <w:r>
        <w:rPr>
          <w:color w:val="auto"/>
          <w:sz w:val="24"/>
        </w:rPr>
        <w:t>水土保持各项防治措施实施必须符合方案的总体布局，各项工程施工要严格按着方案提出的设计标准和设计要求执行，使用材料要符合质量要求，严格控制施工时序，按着方案拟定的施工方法在拟定的工期内完成施工任务。</w:t>
      </w:r>
    </w:p>
    <w:p>
      <w:pPr>
        <w:adjustRightInd w:val="0"/>
        <w:snapToGrid w:val="0"/>
        <w:spacing w:line="360" w:lineRule="auto"/>
        <w:ind w:firstLine="480" w:firstLineChars="200"/>
        <w:contextualSpacing/>
        <w:rPr>
          <w:color w:val="auto"/>
          <w:sz w:val="24"/>
        </w:rPr>
      </w:pPr>
      <w:r>
        <w:rPr>
          <w:color w:val="auto"/>
          <w:sz w:val="24"/>
        </w:rPr>
        <w:t>根据《水土保持工程质量评定规程》(SL336-2006)，水保各项治理措施的基本要求是总体布局合理，各项措施位置符合规划要求，规格、尺寸、质量使用材料、施工方法符合施工和设计标准经暴雨考验后基本完好。</w:t>
      </w:r>
    </w:p>
    <w:p>
      <w:pPr>
        <w:spacing w:line="360" w:lineRule="auto"/>
        <w:contextualSpacing/>
        <w:outlineLvl w:val="1"/>
        <w:rPr>
          <w:b/>
          <w:bCs/>
          <w:color w:val="auto"/>
          <w:sz w:val="30"/>
          <w:szCs w:val="30"/>
        </w:rPr>
      </w:pPr>
      <w:bookmarkStart w:id="156" w:name="_Toc145530069"/>
      <w:r>
        <w:rPr>
          <w:b/>
          <w:bCs/>
          <w:color w:val="auto"/>
          <w:sz w:val="30"/>
          <w:szCs w:val="30"/>
        </w:rPr>
        <w:t>5.6水土保持措施进度安排</w:t>
      </w:r>
      <w:bookmarkEnd w:id="156"/>
    </w:p>
    <w:p>
      <w:pPr>
        <w:adjustRightInd w:val="0"/>
        <w:snapToGrid w:val="0"/>
        <w:spacing w:line="360" w:lineRule="auto"/>
        <w:ind w:firstLine="480" w:firstLineChars="200"/>
        <w:contextualSpacing/>
        <w:rPr>
          <w:color w:val="auto"/>
          <w:sz w:val="24"/>
        </w:rPr>
      </w:pPr>
      <w:r>
        <w:rPr>
          <w:color w:val="auto"/>
          <w:sz w:val="24"/>
        </w:rPr>
        <w:t>水土保持工程实施进度应与主体工程同步，各项水土保持措施的实施要与主体工程的施工进度相协调，以尽可能减少施工过程中的水土流失。实施过程中结合主体工程及其施工特点和本地区的气候特点，利用主体工程的施工条件布设水土保持措施，本着合理使用资金、劳力、材料和机械设备，保证水土保持工程的施工进度和工程质量。根据本工程特点，工程措施、临时措施都安排在主体工程施工期实施</w:t>
      </w:r>
      <w:r>
        <w:rPr>
          <w:rFonts w:hint="eastAsia"/>
          <w:color w:val="auto"/>
          <w:sz w:val="24"/>
        </w:rPr>
        <w:t>，</w:t>
      </w:r>
      <w:r>
        <w:rPr>
          <w:color w:val="auto"/>
          <w:sz w:val="24"/>
        </w:rPr>
        <w:t>水土保持施工进度安排见表5.6-1。</w:t>
      </w:r>
    </w:p>
    <w:p>
      <w:pPr>
        <w:pStyle w:val="11"/>
        <w:adjustRightInd w:val="0"/>
        <w:snapToGrid w:val="0"/>
        <w:spacing w:after="0" w:line="300" w:lineRule="auto"/>
        <w:contextualSpacing/>
        <w:jc w:val="center"/>
        <w:rPr>
          <w:b/>
          <w:color w:val="auto"/>
          <w:sz w:val="21"/>
          <w:szCs w:val="21"/>
        </w:rPr>
      </w:pPr>
      <w:r>
        <w:rPr>
          <w:b/>
          <w:color w:val="auto"/>
          <w:sz w:val="21"/>
          <w:szCs w:val="21"/>
        </w:rPr>
        <w:t>表5.6-1    水土保持措施进度计划表</w:t>
      </w:r>
    </w:p>
    <w:tbl>
      <w:tblPr>
        <w:tblStyle w:val="25"/>
        <w:tblW w:w="9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749"/>
        <w:gridCol w:w="643"/>
        <w:gridCol w:w="643"/>
        <w:gridCol w:w="643"/>
        <w:gridCol w:w="767"/>
        <w:gridCol w:w="567"/>
        <w:gridCol w:w="598"/>
        <w:gridCol w:w="643"/>
        <w:gridCol w:w="643"/>
        <w:gridCol w:w="643"/>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819" w:type="dxa"/>
            <w:vMerge w:val="restart"/>
            <w:vAlign w:val="center"/>
          </w:tcPr>
          <w:p>
            <w:pPr>
              <w:adjustRightInd w:val="0"/>
              <w:snapToGrid w:val="0"/>
              <w:jc w:val="center"/>
              <w:rPr>
                <w:color w:val="auto"/>
                <w:sz w:val="21"/>
                <w:szCs w:val="21"/>
              </w:rPr>
            </w:pPr>
            <w:r>
              <w:rPr>
                <w:color w:val="auto"/>
                <w:sz w:val="21"/>
                <w:szCs w:val="21"/>
              </w:rPr>
              <w:t>序号</w:t>
            </w:r>
          </w:p>
        </w:tc>
        <w:tc>
          <w:tcPr>
            <w:tcW w:w="1749" w:type="dxa"/>
            <w:vMerge w:val="restart"/>
            <w:vAlign w:val="center"/>
          </w:tcPr>
          <w:p>
            <w:pPr>
              <w:adjustRightInd w:val="0"/>
              <w:snapToGrid w:val="0"/>
              <w:jc w:val="center"/>
              <w:rPr>
                <w:color w:val="auto"/>
                <w:sz w:val="21"/>
                <w:szCs w:val="21"/>
              </w:rPr>
            </w:pPr>
            <w:r>
              <w:rPr>
                <w:color w:val="auto"/>
                <w:sz w:val="21"/>
                <w:szCs w:val="21"/>
              </w:rPr>
              <w:t>项目实施阶段</w:t>
            </w:r>
          </w:p>
        </w:tc>
        <w:tc>
          <w:tcPr>
            <w:tcW w:w="2696" w:type="dxa"/>
            <w:gridSpan w:val="4"/>
            <w:vAlign w:val="center"/>
          </w:tcPr>
          <w:p>
            <w:pPr>
              <w:jc w:val="center"/>
              <w:rPr>
                <w:color w:val="auto"/>
                <w:sz w:val="21"/>
                <w:szCs w:val="21"/>
              </w:rPr>
            </w:pPr>
            <w:r>
              <w:rPr>
                <w:rFonts w:hint="eastAsia"/>
                <w:color w:val="auto"/>
                <w:sz w:val="21"/>
                <w:szCs w:val="21"/>
              </w:rPr>
              <w:t>2</w:t>
            </w:r>
            <w:r>
              <w:rPr>
                <w:color w:val="auto"/>
                <w:sz w:val="21"/>
                <w:szCs w:val="21"/>
              </w:rPr>
              <w:t>022</w:t>
            </w:r>
            <w:r>
              <w:rPr>
                <w:rFonts w:hint="eastAsia"/>
                <w:color w:val="auto"/>
                <w:sz w:val="21"/>
                <w:szCs w:val="21"/>
              </w:rPr>
              <w:t>年</w:t>
            </w:r>
          </w:p>
        </w:tc>
        <w:tc>
          <w:tcPr>
            <w:tcW w:w="3828" w:type="dxa"/>
            <w:gridSpan w:val="6"/>
            <w:vAlign w:val="center"/>
          </w:tcPr>
          <w:p>
            <w:pPr>
              <w:jc w:val="center"/>
              <w:rPr>
                <w:color w:val="auto"/>
                <w:sz w:val="21"/>
                <w:szCs w:val="21"/>
              </w:rPr>
            </w:pPr>
            <w:r>
              <w:rPr>
                <w:rFonts w:hint="eastAsia"/>
                <w:color w:val="auto"/>
                <w:sz w:val="21"/>
                <w:szCs w:val="21"/>
              </w:rPr>
              <w:t>2</w:t>
            </w:r>
            <w:r>
              <w:rPr>
                <w:color w:val="auto"/>
                <w:sz w:val="21"/>
                <w:szCs w:val="21"/>
              </w:rPr>
              <w:t>023</w:t>
            </w:r>
            <w:r>
              <w:rPr>
                <w:rFonts w:hint="eastAsia"/>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Merge w:val="continue"/>
            <w:vAlign w:val="center"/>
          </w:tcPr>
          <w:p>
            <w:pPr>
              <w:jc w:val="center"/>
              <w:rPr>
                <w:color w:val="auto"/>
                <w:sz w:val="20"/>
                <w:szCs w:val="20"/>
              </w:rPr>
            </w:pPr>
          </w:p>
        </w:tc>
        <w:tc>
          <w:tcPr>
            <w:tcW w:w="1749" w:type="dxa"/>
            <w:vMerge w:val="continue"/>
            <w:vAlign w:val="center"/>
          </w:tcPr>
          <w:p>
            <w:pPr>
              <w:jc w:val="center"/>
              <w:rPr>
                <w:color w:val="auto"/>
                <w:sz w:val="20"/>
                <w:szCs w:val="20"/>
              </w:rPr>
            </w:pPr>
          </w:p>
        </w:tc>
        <w:tc>
          <w:tcPr>
            <w:tcW w:w="643" w:type="dxa"/>
            <w:vAlign w:val="center"/>
          </w:tcPr>
          <w:p>
            <w:pPr>
              <w:jc w:val="center"/>
              <w:rPr>
                <w:rFonts w:eastAsia="宋体"/>
                <w:color w:val="auto"/>
                <w:sz w:val="20"/>
                <w:szCs w:val="20"/>
              </w:rPr>
            </w:pPr>
            <w:r>
              <w:rPr>
                <w:rFonts w:hint="eastAsia" w:eastAsia="宋体"/>
                <w:color w:val="auto"/>
                <w:sz w:val="20"/>
                <w:szCs w:val="20"/>
              </w:rPr>
              <w:t>5</w:t>
            </w:r>
            <w:r>
              <w:rPr>
                <w:rFonts w:eastAsia="宋体"/>
                <w:color w:val="auto"/>
                <w:sz w:val="20"/>
                <w:szCs w:val="20"/>
              </w:rPr>
              <w:t>~6</w:t>
            </w:r>
          </w:p>
        </w:tc>
        <w:tc>
          <w:tcPr>
            <w:tcW w:w="643" w:type="dxa"/>
            <w:vAlign w:val="center"/>
          </w:tcPr>
          <w:p>
            <w:pPr>
              <w:jc w:val="center"/>
              <w:rPr>
                <w:rFonts w:eastAsia="宋体"/>
                <w:color w:val="auto"/>
                <w:sz w:val="20"/>
                <w:szCs w:val="20"/>
              </w:rPr>
            </w:pPr>
            <w:r>
              <w:rPr>
                <w:rFonts w:hint="eastAsia" w:eastAsia="宋体"/>
                <w:color w:val="auto"/>
                <w:sz w:val="20"/>
                <w:szCs w:val="20"/>
              </w:rPr>
              <w:t>7</w:t>
            </w:r>
            <w:r>
              <w:rPr>
                <w:rFonts w:eastAsia="宋体"/>
                <w:color w:val="auto"/>
                <w:sz w:val="20"/>
                <w:szCs w:val="20"/>
              </w:rPr>
              <w:t>~8</w:t>
            </w:r>
          </w:p>
        </w:tc>
        <w:tc>
          <w:tcPr>
            <w:tcW w:w="643" w:type="dxa"/>
            <w:vAlign w:val="center"/>
          </w:tcPr>
          <w:p>
            <w:pPr>
              <w:jc w:val="center"/>
              <w:rPr>
                <w:rFonts w:eastAsia="宋体"/>
                <w:color w:val="auto"/>
                <w:sz w:val="20"/>
                <w:szCs w:val="20"/>
              </w:rPr>
            </w:pPr>
            <w:r>
              <w:rPr>
                <w:rFonts w:hint="eastAsia" w:eastAsia="宋体"/>
                <w:color w:val="auto"/>
                <w:sz w:val="20"/>
                <w:szCs w:val="20"/>
              </w:rPr>
              <w:t>9</w:t>
            </w:r>
            <w:r>
              <w:rPr>
                <w:rFonts w:eastAsia="宋体"/>
                <w:color w:val="auto"/>
                <w:sz w:val="20"/>
                <w:szCs w:val="20"/>
              </w:rPr>
              <w:t>~10</w:t>
            </w:r>
          </w:p>
        </w:tc>
        <w:tc>
          <w:tcPr>
            <w:tcW w:w="767" w:type="dxa"/>
            <w:vAlign w:val="center"/>
          </w:tcPr>
          <w:p>
            <w:pPr>
              <w:jc w:val="center"/>
              <w:rPr>
                <w:rFonts w:eastAsia="宋体"/>
                <w:color w:val="auto"/>
                <w:sz w:val="20"/>
                <w:szCs w:val="20"/>
              </w:rPr>
            </w:pPr>
            <w:r>
              <w:rPr>
                <w:rFonts w:hint="eastAsia" w:eastAsia="宋体"/>
                <w:color w:val="auto"/>
                <w:sz w:val="20"/>
                <w:szCs w:val="20"/>
              </w:rPr>
              <w:t>1</w:t>
            </w:r>
            <w:r>
              <w:rPr>
                <w:rFonts w:eastAsia="宋体"/>
                <w:color w:val="auto"/>
                <w:sz w:val="20"/>
                <w:szCs w:val="20"/>
              </w:rPr>
              <w:t>1~12</w:t>
            </w:r>
          </w:p>
        </w:tc>
        <w:tc>
          <w:tcPr>
            <w:tcW w:w="567" w:type="dxa"/>
            <w:vAlign w:val="center"/>
          </w:tcPr>
          <w:p>
            <w:pPr>
              <w:jc w:val="center"/>
              <w:rPr>
                <w:rFonts w:eastAsia="宋体"/>
                <w:color w:val="auto"/>
                <w:sz w:val="20"/>
                <w:szCs w:val="20"/>
              </w:rPr>
            </w:pPr>
            <w:r>
              <w:rPr>
                <w:rFonts w:hint="eastAsia" w:eastAsia="宋体"/>
                <w:color w:val="auto"/>
                <w:sz w:val="20"/>
                <w:szCs w:val="20"/>
              </w:rPr>
              <w:t>1</w:t>
            </w:r>
            <w:r>
              <w:rPr>
                <w:rFonts w:eastAsia="宋体"/>
                <w:color w:val="auto"/>
                <w:sz w:val="20"/>
                <w:szCs w:val="20"/>
              </w:rPr>
              <w:t>~2</w:t>
            </w:r>
          </w:p>
        </w:tc>
        <w:tc>
          <w:tcPr>
            <w:tcW w:w="598" w:type="dxa"/>
            <w:vAlign w:val="center"/>
          </w:tcPr>
          <w:p>
            <w:pPr>
              <w:jc w:val="center"/>
              <w:rPr>
                <w:rFonts w:eastAsia="宋体"/>
                <w:color w:val="auto"/>
                <w:sz w:val="20"/>
                <w:szCs w:val="20"/>
              </w:rPr>
            </w:pPr>
            <w:r>
              <w:rPr>
                <w:rFonts w:hint="eastAsia" w:eastAsia="宋体"/>
                <w:color w:val="auto"/>
                <w:sz w:val="20"/>
                <w:szCs w:val="20"/>
              </w:rPr>
              <w:t>3~</w:t>
            </w:r>
            <w:r>
              <w:rPr>
                <w:rFonts w:eastAsia="宋体"/>
                <w:color w:val="auto"/>
                <w:sz w:val="20"/>
                <w:szCs w:val="20"/>
              </w:rPr>
              <w:t>4</w:t>
            </w:r>
          </w:p>
        </w:tc>
        <w:tc>
          <w:tcPr>
            <w:tcW w:w="643" w:type="dxa"/>
            <w:vAlign w:val="center"/>
          </w:tcPr>
          <w:p>
            <w:pPr>
              <w:jc w:val="center"/>
              <w:rPr>
                <w:rFonts w:eastAsia="宋体"/>
                <w:color w:val="auto"/>
                <w:sz w:val="20"/>
                <w:szCs w:val="20"/>
              </w:rPr>
            </w:pPr>
            <w:r>
              <w:rPr>
                <w:rFonts w:hint="eastAsia" w:eastAsia="宋体"/>
                <w:color w:val="auto"/>
                <w:sz w:val="20"/>
                <w:szCs w:val="20"/>
              </w:rPr>
              <w:t>5</w:t>
            </w:r>
            <w:r>
              <w:rPr>
                <w:rFonts w:eastAsia="宋体"/>
                <w:color w:val="auto"/>
                <w:sz w:val="20"/>
                <w:szCs w:val="20"/>
              </w:rPr>
              <w:t>~6</w:t>
            </w:r>
          </w:p>
        </w:tc>
        <w:tc>
          <w:tcPr>
            <w:tcW w:w="643" w:type="dxa"/>
            <w:vAlign w:val="center"/>
          </w:tcPr>
          <w:p>
            <w:pPr>
              <w:jc w:val="center"/>
              <w:rPr>
                <w:rFonts w:eastAsia="宋体"/>
                <w:color w:val="auto"/>
                <w:sz w:val="20"/>
                <w:szCs w:val="20"/>
              </w:rPr>
            </w:pPr>
            <w:r>
              <w:rPr>
                <w:rFonts w:hint="eastAsia" w:eastAsia="宋体"/>
                <w:color w:val="auto"/>
                <w:sz w:val="20"/>
                <w:szCs w:val="20"/>
              </w:rPr>
              <w:t>7</w:t>
            </w:r>
            <w:r>
              <w:rPr>
                <w:rFonts w:eastAsia="宋体"/>
                <w:color w:val="auto"/>
                <w:sz w:val="20"/>
                <w:szCs w:val="20"/>
              </w:rPr>
              <w:t>~8</w:t>
            </w:r>
          </w:p>
        </w:tc>
        <w:tc>
          <w:tcPr>
            <w:tcW w:w="643" w:type="dxa"/>
            <w:vAlign w:val="center"/>
          </w:tcPr>
          <w:p>
            <w:pPr>
              <w:jc w:val="center"/>
              <w:rPr>
                <w:rFonts w:eastAsia="宋体"/>
                <w:color w:val="auto"/>
                <w:sz w:val="20"/>
                <w:szCs w:val="20"/>
              </w:rPr>
            </w:pPr>
            <w:r>
              <w:rPr>
                <w:rFonts w:hint="eastAsia" w:eastAsia="宋体"/>
                <w:color w:val="auto"/>
                <w:sz w:val="20"/>
                <w:szCs w:val="20"/>
              </w:rPr>
              <w:t>9</w:t>
            </w:r>
            <w:r>
              <w:rPr>
                <w:rFonts w:eastAsia="宋体"/>
                <w:color w:val="auto"/>
                <w:sz w:val="20"/>
                <w:szCs w:val="20"/>
              </w:rPr>
              <w:t>~10</w:t>
            </w:r>
          </w:p>
        </w:tc>
        <w:tc>
          <w:tcPr>
            <w:tcW w:w="734" w:type="dxa"/>
            <w:vAlign w:val="center"/>
          </w:tcPr>
          <w:p>
            <w:pPr>
              <w:jc w:val="center"/>
              <w:rPr>
                <w:rFonts w:eastAsia="宋体"/>
                <w:color w:val="auto"/>
                <w:sz w:val="20"/>
                <w:szCs w:val="20"/>
              </w:rPr>
            </w:pPr>
            <w:r>
              <w:rPr>
                <w:rFonts w:hint="eastAsia" w:eastAsia="宋体"/>
                <w:color w:val="auto"/>
                <w:sz w:val="20"/>
                <w:szCs w:val="20"/>
              </w:rPr>
              <w:t>1</w:t>
            </w:r>
            <w:r>
              <w:rPr>
                <w:rFonts w:eastAsia="宋体"/>
                <w:color w:val="auto"/>
                <w:sz w:val="20"/>
                <w:szCs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b/>
                <w:bCs/>
                <w:color w:val="auto"/>
                <w:sz w:val="21"/>
                <w:szCs w:val="21"/>
              </w:rPr>
            </w:pPr>
            <w:r>
              <w:rPr>
                <w:rFonts w:hint="eastAsia"/>
                <w:b/>
                <w:bCs/>
                <w:color w:val="auto"/>
                <w:sz w:val="21"/>
                <w:szCs w:val="21"/>
              </w:rPr>
              <w:t>一</w:t>
            </w:r>
          </w:p>
        </w:tc>
        <w:tc>
          <w:tcPr>
            <w:tcW w:w="1749" w:type="dxa"/>
            <w:vAlign w:val="center"/>
          </w:tcPr>
          <w:p>
            <w:pPr>
              <w:adjustRightInd w:val="0"/>
              <w:snapToGrid w:val="0"/>
              <w:jc w:val="center"/>
              <w:rPr>
                <w:b/>
                <w:bCs/>
                <w:color w:val="auto"/>
                <w:sz w:val="21"/>
                <w:szCs w:val="21"/>
              </w:rPr>
            </w:pPr>
            <w:r>
              <w:rPr>
                <w:rFonts w:hint="eastAsia"/>
                <w:b/>
                <w:bCs/>
                <w:color w:val="auto"/>
                <w:sz w:val="21"/>
                <w:szCs w:val="21"/>
              </w:rPr>
              <w:t>建构筑物区</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1</w:t>
            </w:r>
          </w:p>
        </w:tc>
        <w:tc>
          <w:tcPr>
            <w:tcW w:w="1749" w:type="dxa"/>
            <w:vAlign w:val="center"/>
          </w:tcPr>
          <w:p>
            <w:pPr>
              <w:adjustRightInd w:val="0"/>
              <w:snapToGrid w:val="0"/>
              <w:jc w:val="center"/>
              <w:rPr>
                <w:color w:val="auto"/>
                <w:sz w:val="21"/>
                <w:szCs w:val="21"/>
              </w:rPr>
            </w:pPr>
            <w:r>
              <w:rPr>
                <w:rFonts w:hint="eastAsia"/>
                <w:color w:val="auto"/>
                <w:sz w:val="21"/>
                <w:szCs w:val="21"/>
              </w:rPr>
              <w:t>临时苫盖</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102235</wp:posOffset>
                      </wp:positionV>
                      <wp:extent cx="609600" cy="0"/>
                      <wp:effectExtent l="0" t="19050" r="19050" b="19050"/>
                      <wp:wrapNone/>
                      <wp:docPr id="1389288002" name="直接连接符 1"/>
                      <wp:cNvGraphicFramePr/>
                      <a:graphic xmlns:a="http://schemas.openxmlformats.org/drawingml/2006/main">
                        <a:graphicData uri="http://schemas.microsoft.com/office/word/2010/wordprocessingShape">
                          <wps:wsp>
                            <wps:cNvCnPr/>
                            <wps:spPr>
                              <a:xfrm flipV="1">
                                <a:off x="0" y="0"/>
                                <a:ext cx="609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5.15pt;margin-top:8.05pt;height:0pt;width:48pt;z-index:251663360;mso-width-relative:page;mso-height-relative:page;" filled="f" stroked="t" coordsize="21600,21600" o:gfxdata="UEsDBAoAAAAAAIdO4kAAAAAAAAAAAAAAAAAEAAAAZHJzL1BLAwQUAAAACACHTuJAF7bnQtYAAAAI&#10;AQAADwAAAGRycy9kb3ducmV2LnhtbE2Py07DMBBF90j8gzVIbFBrh0dbhTgVQrALi7YgsXTjaRKw&#10;x5HtPvh7BrGA5dU9unOmWp68EweMaQikoZgqEEhtsAN1Gl43z5MFiJQNWeMCoYYvTLCsz88qU9pw&#10;pBUe1rkTPEKpNBr6nMdSytT26E2ahhGJu12I3mSOsZM2miOPeyevlZpJbwbiC70Z8bHH9nO99xpC&#10;07ynaK+a8DI3m6fdg7v9SG9aX14U6h5ExlP+g+FHn9WhZqdt2JNNwmmYFOqGUS5mBQgGFndzENvf&#10;LOtK/n+g/gZQSwMEFAAAAAgAh07iQFG+2wwGAgAA5gMAAA4AAABkcnMvZTJvRG9jLnhtbK2TS44T&#10;MRCG90jcwfKedCeQTNJKZ8RMGDY8IvHYO26725JfcnnSmUtwASR2sGLJntswHIOyOwkwbGbBxm2X&#10;XZ/r/129PN8bTXYigHK2puNRSYmw3DXKtjV99/bq0ZwSiMw2TDsranojgJ6vHj5Y9r4SE9c53YhA&#10;EGKh6n1Nuxh9VRTAO2EYjJwXFjelC4ZFXIa2aALrkW50MSnLWdG70PjguADA6HrYpAdiuA/QSam4&#10;WDt+bYSNAzUIzSJKgk55oKtcrZSCx9dSgohE1xSVxjziJTjfprFYLVnVBuY7xQ8lsPuUcEeTYcri&#10;pSfUmkVGroP6B2UUDw6cjCPuTDEIyY6ginF5x5s3HfMia0GrwZ9Mh/+H5a92m0BUg53weL6YzOdl&#10;OaHEMoMvf/vx248Pn39+/4Tj7dcvZJzc6j1UmHRpN+GwAr8JSfpeBkOkVv49wrIZKI/ss9c3J6/F&#10;PhKOwVm5mJX4Cvy4VQyERPIB4nPhDEmTmmplkwusYrsXEPFWPHo8ksLWXSmt80tqS/qaTubTsymi&#10;GbanxLbAqfEoEWxLCdMt9j2PISPBadWk9ASC0G4vdSA7ht3y5OnZs4uL4VDHGjFEF9MSq853AYsv&#10;XTOEx+UxjrUdMLnOv/ip6DWDbsjJWwmFKdriJ1k7mJlmW9fcZI9zHJ8/Hzy0auqvP9c5+/fvu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7bnQtYAAAAIAQAADwAAAAAAAAABACAAAAAiAAAAZHJz&#10;L2Rvd25yZXYueG1sUEsBAhQAFAAAAAgAh07iQFG+2wwGAgAA5gMAAA4AAAAAAAAAAQAgAAAAJQEA&#10;AGRycy9lMm9Eb2MueG1sUEsFBgAAAAAGAAYAWQEAAJ0FA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2</w:t>
            </w:r>
          </w:p>
        </w:tc>
        <w:tc>
          <w:tcPr>
            <w:tcW w:w="1749" w:type="dxa"/>
            <w:vAlign w:val="center"/>
          </w:tcPr>
          <w:p>
            <w:pPr>
              <w:adjustRightInd w:val="0"/>
              <w:snapToGrid w:val="0"/>
              <w:jc w:val="center"/>
              <w:rPr>
                <w:color w:val="auto"/>
                <w:sz w:val="21"/>
                <w:szCs w:val="21"/>
              </w:rPr>
            </w:pPr>
            <w:r>
              <w:rPr>
                <w:rFonts w:hint="eastAsia"/>
                <w:color w:val="auto"/>
                <w:sz w:val="21"/>
                <w:szCs w:val="21"/>
              </w:rPr>
              <w:t>苫盖拆除</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95885</wp:posOffset>
                      </wp:positionV>
                      <wp:extent cx="609600" cy="0"/>
                      <wp:effectExtent l="0" t="19050" r="19050" b="19050"/>
                      <wp:wrapNone/>
                      <wp:docPr id="1762464505" name="直接连接符 1"/>
                      <wp:cNvGraphicFramePr/>
                      <a:graphic xmlns:a="http://schemas.openxmlformats.org/drawingml/2006/main">
                        <a:graphicData uri="http://schemas.microsoft.com/office/word/2010/wordprocessingShape">
                          <wps:wsp>
                            <wps:cNvCnPr/>
                            <wps:spPr>
                              <a:xfrm flipV="1">
                                <a:off x="0" y="0"/>
                                <a:ext cx="609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5.35pt;margin-top:7.55pt;height:0pt;width:48pt;z-index:251666432;mso-width-relative:page;mso-height-relative:page;" filled="f" stroked="t" coordsize="21600,21600" o:gfxdata="UEsDBAoAAAAAAIdO4kAAAAAAAAAAAAAAAAAEAAAAZHJzL1BLAwQUAAAACACHTuJAyzbRL9YAAAAI&#10;AQAADwAAAGRycy9kb3ducmV2LnhtbE2Py07DMBBF90j8gzVIbFBrByitQpwKIdiFRVuQWE7jaRKw&#10;x5HtPvh7jFjA8uoe3TlTLU/OigOFOHjWUEwVCOLWm4E7Da+b58kCREzIBq1n0vBFEZb1+VmFpfFH&#10;XtFhnTqRRziWqKFPaSyljG1PDuPUj8S52/ngMOUYOmkCHvO4s/JaqTvpcOB8oceRHntqP9d7p8E3&#10;zXsM5qrxL3PcPO0e7O1HfNP68qJQ9yASndIfDD/6WR3q7LT1ezZRWA2TQs0zmotZASIDi9kNiO1v&#10;lnUl/z9QfwNQSwMEFAAAAAgAh07iQP83yngFAgAA5gMAAA4AAABkcnMvZTJvRG9jLnhtbK1TS44T&#10;MRDdI3EHy3vSnSjJzLTSGTEThg2fSHz2jtvutuSfXJ50cgkugMQOVizZcxuGY1B2JwGGzSzYuMv1&#10;eVXvuXpxuTOabEUA5WxNx6OSEmG5a5Rta/ru7c2Tc0ogMtsw7ayo6V4AvVw+frTofSUmrnO6EYEg&#10;iIWq9zXtYvRVUQDvhGEwcl5YDEoXDIt4DW3RBNYjutHFpCznRe9C44PjAgC9qyFID4jhIYBOSsXF&#10;yvFbI2wcUIPQLCIl6JQHuszTSil4fC0liEh0TZFpzCc2QXuTzmK5YFUbmO8UP4zAHjLCPU6GKYtN&#10;T1ArFhm5DeofKKN4cOBkHHFnioFIVgRZjMt72rzpmBeZC0oN/iQ6/D9Y/mq7DkQ1uAln88l0Pp2V&#10;M0osM/jydx+//fjw+ef3T3jeff1Cxkmt3kOFRdd2HQ438OuQqO9kMERq5d8jWBYD6ZFd1np/0lrs&#10;IuHonJcX8xJfgR9DxYCQkHyA+Fw4Q5JRU61sUoFVbPsCInbF1GNKclt3o7TOL6kt6Ws6OZ+dIQvO&#10;cD0lrgWaxiNFsC0lTLe49zyGDAlOqyaVJyAI7eZaB7JluC3Tp2fPrq6GpI41YvBezEqcOvcCFl+6&#10;ZnCPy6MfZzvA5Dn/wk9Drxh0Q00OJSgs0RY/SdpBzGRtXLPPGmc/Pn9OPKxq2q8/77n69++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NtEv1gAAAAgBAAAPAAAAAAAAAAEAIAAAACIAAABkcnMv&#10;ZG93bnJldi54bWxQSwECFAAUAAAACACHTuJA/zfKeAUCAADmAwAADgAAAAAAAAABACAAAAAlAQAA&#10;ZHJzL2Uyb0RvYy54bWxQSwUGAAAAAAYABgBZAQAAnAUAAAAA&#10;">
                      <v:fill on="f" focussize="0,0"/>
                      <v:stroke weight="2.25pt" color="#4A7EBB [3204]" joinstyle="round"/>
                      <v:imagedata o:title=""/>
                      <o:lock v:ext="edit" aspectratio="f"/>
                    </v:line>
                  </w:pict>
                </mc:Fallback>
              </mc:AlternateContent>
            </w: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b/>
                <w:bCs/>
                <w:color w:val="auto"/>
                <w:sz w:val="21"/>
                <w:szCs w:val="21"/>
              </w:rPr>
            </w:pPr>
            <w:r>
              <w:rPr>
                <w:rFonts w:hint="eastAsia"/>
                <w:b/>
                <w:bCs/>
                <w:color w:val="auto"/>
                <w:sz w:val="21"/>
                <w:szCs w:val="21"/>
              </w:rPr>
              <w:t>二</w:t>
            </w:r>
          </w:p>
        </w:tc>
        <w:tc>
          <w:tcPr>
            <w:tcW w:w="1749" w:type="dxa"/>
            <w:vAlign w:val="center"/>
          </w:tcPr>
          <w:p>
            <w:pPr>
              <w:adjustRightInd w:val="0"/>
              <w:snapToGrid w:val="0"/>
              <w:jc w:val="center"/>
              <w:rPr>
                <w:b/>
                <w:bCs/>
                <w:color w:val="auto"/>
                <w:sz w:val="21"/>
                <w:szCs w:val="21"/>
              </w:rPr>
            </w:pPr>
            <w:r>
              <w:rPr>
                <w:rFonts w:hint="eastAsia"/>
                <w:b/>
                <w:bCs/>
                <w:color w:val="auto"/>
                <w:sz w:val="21"/>
                <w:szCs w:val="21"/>
              </w:rPr>
              <w:t>道路地面硬化区</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1</w:t>
            </w:r>
          </w:p>
        </w:tc>
        <w:tc>
          <w:tcPr>
            <w:tcW w:w="1749" w:type="dxa"/>
            <w:vAlign w:val="center"/>
          </w:tcPr>
          <w:p>
            <w:pPr>
              <w:adjustRightInd w:val="0"/>
              <w:snapToGrid w:val="0"/>
              <w:jc w:val="center"/>
              <w:rPr>
                <w:color w:val="auto"/>
                <w:sz w:val="21"/>
                <w:szCs w:val="21"/>
              </w:rPr>
            </w:pPr>
            <w:r>
              <w:rPr>
                <w:rFonts w:hint="eastAsia"/>
                <w:color w:val="auto"/>
                <w:sz w:val="21"/>
                <w:szCs w:val="21"/>
              </w:rPr>
              <w:t>雨水管网</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98425</wp:posOffset>
                      </wp:positionV>
                      <wp:extent cx="616585" cy="0"/>
                      <wp:effectExtent l="0" t="19050" r="31115" b="19050"/>
                      <wp:wrapNone/>
                      <wp:docPr id="1950658293" name="直接连接符 1"/>
                      <wp:cNvGraphicFramePr/>
                      <a:graphic xmlns:a="http://schemas.openxmlformats.org/drawingml/2006/main">
                        <a:graphicData uri="http://schemas.microsoft.com/office/word/2010/wordprocessingShape">
                          <wps:wsp>
                            <wps:cNvCnPr/>
                            <wps:spPr>
                              <a:xfrm flipV="1">
                                <a:off x="0" y="0"/>
                                <a:ext cx="61658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4.75pt;margin-top:7.75pt;height:0pt;width:48.55pt;z-index:251661312;mso-width-relative:page;mso-height-relative:page;" filled="f" stroked="t" coordsize="21600,21600" o:gfxdata="UEsDBAoAAAAAAIdO4kAAAAAAAAAAAAAAAAAEAAAAZHJzL1BLAwQUAAAACACHTuJAdG6j+NUAAAAH&#10;AQAADwAAAGRycy9kb3ducmV2LnhtbE2OS0/DMBCE70j8B2uRuKDWKaIPQpwKIbilB1qQOG7jbRKw&#10;11HsPvj3XcQBTqvZGc18xfLknTrQELvABibjDBRxHWzHjYG3zctoASomZIsuMBn4pgjL8vKiwNyG&#10;I7/SYZ0aJSUcczTQptTnWse6JY9xHHpi8XZh8JhEDo22Ax6l3Dt9m2Uz7bFjWWixp6eW6q/13hsI&#10;VfURB3tThdUcN8+7R3f3Gd+Nub6aZA+gEp3SXxh+8AUdSmHahj3bqJyB0f1UkvKfyhV/MZ+B2v5q&#10;XRb6P395BlBLAwQUAAAACACHTuJASWdN6AMCAADmAwAADgAAAGRycy9lMm9Eb2MueG1srVNLktMw&#10;EN1TxR1U2hPbgWQyrjhTzIRhwydVfPaKLNuq0q/Umji5BBegih2sWLLnNgzHoCU7AYbNLNjIrf68&#10;7vfUXl7stSI74UFaU9FiklMiDLe1NG1F3729frSgBAIzNVPWiIoeBNCL1cMHy96VYmo7q2rhCYIY&#10;KHtX0S4EV2YZ8E5oBhPrhMFgY71mAa++zWrPekTXKpvm+Tzrra+dt1wAoHc9BOmI6O8DaJtGcrG2&#10;/EYLEwZULxQLSAk66YCu0rRNI3h43TQgAlEVRaYhndgE7W08s9WSla1nrpN8HIHdZ4Q7nDSTBpue&#10;oNYsMHLj5T9QWnJvwTZhwq3OBiJJEWRR5He0edMxJxIXlBrcSXT4f7D81W7jiaxxE85n+Xy2mJ4/&#10;psQwjS9/+/Hbjw+ff37/hOft1y+kiGr1DkosujIbP97AbXykvm+8Jo2S7j2CJTGQHtknrQ8nrcU+&#10;EI7OeYHNZpTwYygbECKS8xCeC6tJNCqqpIkqsJLtXkDArph6TIluY6+lUukllSF9RaeL2VmEZrie&#10;Da4FmtohRTAtJUy1uPc8+AQJVsk6lkcg8O32SnmyY7gtT56ePbu8HJI6VovBiyLl49YACy9tPbiL&#10;/OjH2UaYNOdf+HHoNYNuqEmhKCmWKIOfKO0gZrS2tj4kjZMfnz8ljqsa9+vPe6r+/Xu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bqP41QAAAAcBAAAPAAAAAAAAAAEAIAAAACIAAABkcnMvZG93&#10;bnJldi54bWxQSwECFAAUAAAACACHTuJASWdN6AMCAADmAwAADgAAAAAAAAABACAAAAAkAQAAZHJz&#10;L2Uyb0RvYy54bWxQSwUGAAAAAAYABgBZAQAAmQU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2</w:t>
            </w:r>
          </w:p>
        </w:tc>
        <w:tc>
          <w:tcPr>
            <w:tcW w:w="1749" w:type="dxa"/>
            <w:vAlign w:val="center"/>
          </w:tcPr>
          <w:p>
            <w:pPr>
              <w:adjustRightInd w:val="0"/>
              <w:snapToGrid w:val="0"/>
              <w:jc w:val="center"/>
              <w:rPr>
                <w:color w:val="auto"/>
                <w:sz w:val="21"/>
                <w:szCs w:val="21"/>
              </w:rPr>
            </w:pPr>
            <w:r>
              <w:rPr>
                <w:rFonts w:hint="eastAsia"/>
                <w:color w:val="auto"/>
                <w:sz w:val="21"/>
                <w:szCs w:val="21"/>
              </w:rPr>
              <w:t>排水明沟</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7456" behindDoc="0" locked="0" layoutInCell="1" allowOverlap="1">
                      <wp:simplePos x="0" y="0"/>
                      <wp:positionH relativeFrom="column">
                        <wp:posOffset>135890</wp:posOffset>
                      </wp:positionH>
                      <wp:positionV relativeFrom="paragraph">
                        <wp:posOffset>119380</wp:posOffset>
                      </wp:positionV>
                      <wp:extent cx="187325" cy="0"/>
                      <wp:effectExtent l="0" t="19050" r="22225" b="19050"/>
                      <wp:wrapNone/>
                      <wp:docPr id="2014262062" name="直接连接符 1"/>
                      <wp:cNvGraphicFramePr/>
                      <a:graphic xmlns:a="http://schemas.openxmlformats.org/drawingml/2006/main">
                        <a:graphicData uri="http://schemas.microsoft.com/office/word/2010/wordprocessingShape">
                          <wps:wsp>
                            <wps:cNvCnPr/>
                            <wps:spPr>
                              <a:xfrm flipV="1">
                                <a:off x="0" y="0"/>
                                <a:ext cx="187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0.7pt;margin-top:9.4pt;height:0pt;width:14.75pt;z-index:251667456;mso-width-relative:page;mso-height-relative:page;" filled="f" stroked="t" coordsize="21600,21600" o:gfxdata="UEsDBAoAAAAAAIdO4kAAAAAAAAAAAAAAAAAEAAAAZHJzL1BLAwQUAAAACACHTuJAiCn6k9QAAAAH&#10;AQAADwAAAGRycy9kb3ducmV2LnhtbE2PS0/DMBCE70j8B2uRuCBqpypQQpwKIbiFAy2VetzG2yTg&#10;R2S7D/49izjAcXZGs99Ui5Oz4kAxDcFrKCYKBPk2mMF3Gt5XL9dzECmjN2iDJw1flGBRn59VWJpw&#10;9G90WOZOcIlPJWrocx5LKVPbk8M0CSN59nYhOswsYydNxCOXOyunSt1Kh4PnDz2O9NRT+7ncOw2h&#10;aTYpmqsmvN7h6nn3aGcfaa315UWhHkBkOuW/MPzgMzrUzLQNe2+SsBqmxYyTfJ/zAvZv1D2I7a+W&#10;dSX/89ffUEsDBBQAAAAIAIdO4kCflrMwBAIAAOYDAAAOAAAAZHJzL2Uyb0RvYy54bWytU0uS0zAQ&#10;3VPFHVTaEztmkgmuOFPMhGHDJ1V89oos26rSr9SaOLkEF6CKHaxYsuc2DMegJTsBhs0s2Mit/rzu&#10;99ReXuy1IjvhQVpT0ekkp0QYbmtp2oq+e3v9aEEJBGZqpqwRFT0IoBerhw+WvStFYTurauEJghgo&#10;e1fRLgRXZhnwTmgGE+uEwWBjvWYBr77Nas96RNcqK/J8nvXW185bLgDQux6CdET09wG0TSO5WFt+&#10;o4UJA6oXigWkBJ10QFdp2qYRPLxuGhCBqIoi05BObIL2Np7ZasnK1jPXST6OwO4zwh1OmkmDTU9Q&#10;axYYufHyHygtubdgmzDhVmcDkaQIspjmd7R50zEnEheUGtxJdPh/sPzVbuOJrCuK/c+KeZHPC0oM&#10;0/jytx+//fjw+ef3T3jefv1CplGt3kGJRVdm48cbuI2P1PeN16RR0r3HtUpiID2yT1ofTlqLfSAc&#10;ndPF+eNiRgk/hrIBISI5D+G5sJpEo6JKmqgCK9nuBQTsiqnHlOg29loqlV5SGdIjlcXsPEIzXM8G&#10;1wJN7ZAimJYSplrcex58ggSrZB3LIxD4dnulPNkx3Jazp+fPLi+HpI7VYvA+meX5uDXAwktbD+5p&#10;fvTjbCNMmvMv/Dj0mkE31KRQlBRLlMFPlHYQM1pbWx+SxsmPz58Sx1WN+/XnPVX//j1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fqT1AAAAAcBAAAPAAAAAAAAAAEAIAAAACIAAABkcnMvZG93&#10;bnJldi54bWxQSwECFAAUAAAACACHTuJAn5azMAQCAADmAwAADgAAAAAAAAABACAAAAAjAQAAZHJz&#10;L2Uyb0RvYy54bWxQSwUGAAAAAAYABgBZAQAAmQUAAAAA&#10;">
                      <v:fill on="f" focussize="0,0"/>
                      <v:stroke weight="2.25pt" color="#4A7EBB [3204]" joinstyle="round"/>
                      <v:imagedata o:title=""/>
                      <o:lock v:ext="edit" aspectratio="f"/>
                    </v:line>
                  </w:pict>
                </mc:Fallback>
              </mc:AlternateContent>
            </w: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b/>
                <w:bCs/>
                <w:color w:val="auto"/>
                <w:sz w:val="21"/>
                <w:szCs w:val="21"/>
              </w:rPr>
            </w:pPr>
            <w:r>
              <w:rPr>
                <w:rFonts w:hint="eastAsia"/>
                <w:b/>
                <w:bCs/>
                <w:color w:val="auto"/>
                <w:sz w:val="21"/>
                <w:szCs w:val="21"/>
              </w:rPr>
              <w:t>三</w:t>
            </w:r>
          </w:p>
        </w:tc>
        <w:tc>
          <w:tcPr>
            <w:tcW w:w="1749" w:type="dxa"/>
            <w:vAlign w:val="center"/>
          </w:tcPr>
          <w:p>
            <w:pPr>
              <w:adjustRightInd w:val="0"/>
              <w:snapToGrid w:val="0"/>
              <w:jc w:val="center"/>
              <w:rPr>
                <w:b/>
                <w:bCs/>
                <w:color w:val="auto"/>
                <w:sz w:val="21"/>
                <w:szCs w:val="21"/>
              </w:rPr>
            </w:pPr>
            <w:r>
              <w:rPr>
                <w:rFonts w:hint="eastAsia"/>
                <w:b/>
                <w:bCs/>
                <w:color w:val="auto"/>
                <w:sz w:val="21"/>
                <w:szCs w:val="21"/>
              </w:rPr>
              <w:t>绿化区</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1</w:t>
            </w:r>
          </w:p>
        </w:tc>
        <w:tc>
          <w:tcPr>
            <w:tcW w:w="1749" w:type="dxa"/>
            <w:vAlign w:val="center"/>
          </w:tcPr>
          <w:p>
            <w:pPr>
              <w:adjustRightInd w:val="0"/>
              <w:snapToGrid w:val="0"/>
              <w:jc w:val="center"/>
              <w:rPr>
                <w:color w:val="auto"/>
                <w:sz w:val="21"/>
                <w:szCs w:val="21"/>
              </w:rPr>
            </w:pPr>
            <w:r>
              <w:rPr>
                <w:rFonts w:hint="eastAsia"/>
                <w:color w:val="auto"/>
                <w:sz w:val="21"/>
                <w:szCs w:val="21"/>
              </w:rPr>
              <w:t>全面整地</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92710</wp:posOffset>
                      </wp:positionV>
                      <wp:extent cx="187325" cy="0"/>
                      <wp:effectExtent l="0" t="19050" r="22225" b="19050"/>
                      <wp:wrapNone/>
                      <wp:docPr id="1873544694" name="直接连接符 1"/>
                      <wp:cNvGraphicFramePr/>
                      <a:graphic xmlns:a="http://schemas.openxmlformats.org/drawingml/2006/main">
                        <a:graphicData uri="http://schemas.microsoft.com/office/word/2010/wordprocessingShape">
                          <wps:wsp>
                            <wps:cNvCnPr/>
                            <wps:spPr>
                              <a:xfrm flipV="1">
                                <a:off x="0" y="0"/>
                                <a:ext cx="187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4.85pt;margin-top:7.3pt;height:0pt;width:14.75pt;z-index:251670528;mso-width-relative:page;mso-height-relative:page;" filled="f" stroked="t" coordsize="21600,21600" o:gfxdata="UEsDBAoAAAAAAIdO4kAAAAAAAAAAAAAAAAAEAAAAZHJzL1BLAwQUAAAACACHTuJAjKUFFdUAAAAH&#10;AQAADwAAAGRycy9kb3ducmV2LnhtbE2PS0/DMBCE70j8B2uRuKDWKar6CHEqhOAWDrQg9biNt0nA&#10;Xkex++DfsxUHOM7OaPabYnX2Th1piF1gA5NxBoq4DrbjxsD75mW0ABUTskUXmAx8U4RVeX1VYG7D&#10;id/ouE6NkhKOORpoU+pzrWPdksc4Dj2xePsweEwih0bbAU9S7p2+z7KZ9tixfGixp6eW6q/1wRsI&#10;VbWNg72rwuscN8/7Rzf9jB/G3N5MsgdQic7pLwwXfEGHUph24cA2KmdgtJxLUu7TGaiLv5Qlu1+t&#10;y0L/5y9/AFBLAwQUAAAACACHTuJAgwKBIwMCAADmAwAADgAAAGRycy9lMm9Eb2MueG1srVNLktMw&#10;EN1TxR1U2hM7IZlkXHGmmAnDhk+q+OwVWbZVpV+pNXFyCS5AFbthxZI9t2E4Bi3ZCTBsZsFGbvXn&#10;db+n9vJirxXZCQ/SmpKORzklwnBbSdOU9P276ycLSiAwUzFljSjpQQC9WD1+tOxcISa2taoSniCI&#10;gaJzJW1DcEWWAW+FZjCyThgM1tZrFvDqm6zyrEN0rbJJnp9lnfWV85YLAPSu+yAdEP1DAG1dSy7W&#10;lt9oYUKP6oViASlBKx3QVZq2rgUPb+oaRCCqpMg0pBOboL2NZ7ZasqLxzLWSDyOwh4xwj5Nm0mDT&#10;E9SaBUZuvPwHSkvuLdg6jLjVWU8kKYIsxvk9bd62zInEBaUGdxId/h8sf73beCIr3ITF/OlsOj07&#10;n1JimMaXv/v07cfH25/fP+N59/ULGUe1OgcFFl2ZjR9u4DY+Ut/XXpNaSfcBwZIYSI/sk9aHk9Zi&#10;HwhHZ2w3mVHCj6GsR4hIzkN4Iawm0SipkiaqwAq2ewkBu2LqMSW6jb2WSqWXVIZ0JZ0sZvMIzXA9&#10;a1wLNLVDimAaSphqcO958AkSrJJVLI9A4JvtlfJkx3Bbps/mzy8v+6SWVaL3ns/yfNgaYOGVrXr3&#10;OD/6cbYBJs35F34ces2g7WtSKEqKJcrgJ0rbixmtra0OSePkx+dPicOqxv36856qf/+e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pQUV1QAAAAcBAAAPAAAAAAAAAAEAIAAAACIAAABkcnMvZG93&#10;bnJldi54bWxQSwECFAAUAAAACACHTuJAgwKBIwMCAADmAwAADgAAAAAAAAABACAAAAAkAQAAZHJz&#10;L2Uyb0RvYy54bWxQSwUGAAAAAAYABgBZAQAAmQUAAAAA&#10;">
                      <v:fill on="f" focussize="0,0"/>
                      <v:stroke weight="2.25pt" color="#4A7EBB [3204]" joinstyle="round"/>
                      <v:imagedata o:title=""/>
                      <o:lock v:ext="edit" aspectratio="f"/>
                    </v:line>
                  </w:pict>
                </mc:Fallback>
              </mc:AlternateContent>
            </w: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2</w:t>
            </w:r>
          </w:p>
        </w:tc>
        <w:tc>
          <w:tcPr>
            <w:tcW w:w="1749" w:type="dxa"/>
            <w:vAlign w:val="center"/>
          </w:tcPr>
          <w:p>
            <w:pPr>
              <w:adjustRightInd w:val="0"/>
              <w:snapToGrid w:val="0"/>
              <w:jc w:val="center"/>
              <w:rPr>
                <w:color w:val="auto"/>
                <w:sz w:val="21"/>
                <w:szCs w:val="21"/>
              </w:rPr>
            </w:pPr>
            <w:r>
              <w:rPr>
                <w:rFonts w:hint="eastAsia"/>
                <w:color w:val="auto"/>
                <w:sz w:val="21"/>
                <w:szCs w:val="21"/>
              </w:rPr>
              <w:t>铺设草坪</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2576" behindDoc="0" locked="0" layoutInCell="1" allowOverlap="1">
                      <wp:simplePos x="0" y="0"/>
                      <wp:positionH relativeFrom="column">
                        <wp:posOffset>149860</wp:posOffset>
                      </wp:positionH>
                      <wp:positionV relativeFrom="paragraph">
                        <wp:posOffset>81280</wp:posOffset>
                      </wp:positionV>
                      <wp:extent cx="187325" cy="0"/>
                      <wp:effectExtent l="0" t="19050" r="22225" b="19050"/>
                      <wp:wrapNone/>
                      <wp:docPr id="1668229091" name="直接连接符 1"/>
                      <wp:cNvGraphicFramePr/>
                      <a:graphic xmlns:a="http://schemas.openxmlformats.org/drawingml/2006/main">
                        <a:graphicData uri="http://schemas.microsoft.com/office/word/2010/wordprocessingShape">
                          <wps:wsp>
                            <wps:cNvCnPr/>
                            <wps:spPr>
                              <a:xfrm flipV="1">
                                <a:off x="0" y="0"/>
                                <a:ext cx="187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1.8pt;margin-top:6.4pt;height:0pt;width:14.75pt;z-index:251672576;mso-width-relative:page;mso-height-relative:page;" filled="f" stroked="t" coordsize="21600,21600" o:gfxdata="UEsDBAoAAAAAAIdO4kAAAAAAAAAAAAAAAAAEAAAAZHJzL1BLAwQUAAAACACHTuJAbNv0X9QAAAAH&#10;AQAADwAAAGRycy9kb3ducmV2LnhtbE2PzU7DMBCE70i8g7VIXBB1kkJBIU6FENzCgRYkjtt4mwTs&#10;dRS7P7w9izjAcXZGs99Uy6N3ak9THAIbyGcZKOI22IE7A6/rp8tbUDEhW3SBycAXRVjWpycVljYc&#10;+IX2q9QpKeFYooE+pbHUOrY9eYyzMBKLtw2TxyRy6rSd8CDl3ukiyxba48DyoceRHnpqP1c7byA0&#10;zXuc7EUTnm9w/bi9d1cf8c2Y87M8uwOV6Jj+wvCDL+hQC9Mm7NhG5QwU84Uk5V7IAvGv5zmoza/W&#10;daX/89ffUEsDBBQAAAAIAIdO4kCKdr/oAwIAAOYDAAAOAAAAZHJzL2Uyb0RvYy54bWytU0mOEzEU&#10;3SNxB8t7UgNkKqXSojs0G4ZIDHvHZVdZ8iTbnUouwQWQ2MGKJXtuQ3MMvl2VAM2mF2xc9h+e/3t+&#10;tbo4KIn2zHlhdI2LSY4R09Q0Qrc1fvf2+tECIx+Ibog0mtX4yDy+WD98sOptxUrTGdkwhwBE+6q3&#10;Ne5CsFWWedoxRfzEWKYhyY1TJMDRtVnjSA/oSmZlns+y3rjGOkOZ9xDdDEk8Irr7ABrOBWUbQ28U&#10;02FAdUySAJR8J6zH6zQt54yG15x7FpCsMTANaYVLYL+La7Zekap1xHaCjiOQ+4xwh5MiQsOlZ6gN&#10;CQTdOPEPlBLUGW94mFCjsoFIUgRYFPkdbd50xLLEBaT29iy6/3+w9NV+65BowAmz2aIsl/mywEgT&#10;BS9/+/Hbjw+ff37/BOvt1y+oiGr11lfQdKW3bjx5u3WR+oE7hbgU9j2AJTGAHjokrY9nrdkhIArB&#10;YjF/XE4xoqdUNiBEJOt8eM6MQnFTYyl0VIFUZP/CB7gVSk8lMazNtZAyvaTUqK9xuZjOIzQBe3Kw&#10;BWyVBYpetxgR2YLvaXAJ0hspmtgegbxrd1fSoT0Btzx5On92eTkUdaRhQ3Q5zfPRNZ6El6YZwkV+&#10;isNsI0ya8y/8OPSG+G7oSakoKbRIDZ8o7SBm3O1Mc0wapzg8fyocrRr99ec5df/+Pd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b9F/UAAAABwEAAA8AAAAAAAAAAQAgAAAAIgAAAGRycy9kb3du&#10;cmV2LnhtbFBLAQIUABQAAAAIAIdO4kCKdr/oAwIAAOYDAAAOAAAAAAAAAAEAIAAAACMBAABkcnMv&#10;ZTJvRG9jLnhtbFBLBQYAAAAABgAGAFkBAACYBQAAAAA=&#10;">
                      <v:fill on="f" focussize="0,0"/>
                      <v:stroke weight="2.25pt" color="#4A7EBB [3204]" joinstyle="round"/>
                      <v:imagedata o:title=""/>
                      <o:lock v:ext="edit" aspectratio="f"/>
                    </v:line>
                  </w:pict>
                </mc:Fallback>
              </mc:AlternateContent>
            </w: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b/>
                <w:bCs/>
                <w:color w:val="auto"/>
                <w:sz w:val="21"/>
                <w:szCs w:val="21"/>
              </w:rPr>
            </w:pPr>
            <w:r>
              <w:rPr>
                <w:rFonts w:hint="eastAsia"/>
                <w:b/>
                <w:bCs/>
                <w:color w:val="auto"/>
                <w:sz w:val="21"/>
                <w:szCs w:val="21"/>
              </w:rPr>
              <w:t>四</w:t>
            </w:r>
          </w:p>
        </w:tc>
        <w:tc>
          <w:tcPr>
            <w:tcW w:w="1749" w:type="dxa"/>
            <w:vAlign w:val="center"/>
          </w:tcPr>
          <w:p>
            <w:pPr>
              <w:adjustRightInd w:val="0"/>
              <w:snapToGrid w:val="0"/>
              <w:jc w:val="center"/>
              <w:rPr>
                <w:b/>
                <w:bCs/>
                <w:color w:val="auto"/>
                <w:sz w:val="21"/>
                <w:szCs w:val="21"/>
              </w:rPr>
            </w:pPr>
            <w:r>
              <w:rPr>
                <w:rFonts w:hint="eastAsia"/>
                <w:b/>
                <w:bCs/>
                <w:color w:val="auto"/>
                <w:sz w:val="21"/>
                <w:szCs w:val="21"/>
              </w:rPr>
              <w:t>工业园区管网区</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1</w:t>
            </w:r>
          </w:p>
        </w:tc>
        <w:tc>
          <w:tcPr>
            <w:tcW w:w="1749" w:type="dxa"/>
            <w:vAlign w:val="center"/>
          </w:tcPr>
          <w:p>
            <w:pPr>
              <w:adjustRightInd w:val="0"/>
              <w:snapToGrid w:val="0"/>
              <w:jc w:val="center"/>
              <w:rPr>
                <w:color w:val="auto"/>
                <w:sz w:val="21"/>
                <w:szCs w:val="21"/>
              </w:rPr>
            </w:pPr>
            <w:r>
              <w:rPr>
                <w:rFonts w:hint="eastAsia"/>
                <w:color w:val="auto"/>
                <w:sz w:val="21"/>
                <w:szCs w:val="21"/>
              </w:rPr>
              <w:t>全面整地</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3600" behindDoc="0" locked="0" layoutInCell="1" allowOverlap="1">
                      <wp:simplePos x="0" y="0"/>
                      <wp:positionH relativeFrom="column">
                        <wp:posOffset>154305</wp:posOffset>
                      </wp:positionH>
                      <wp:positionV relativeFrom="paragraph">
                        <wp:posOffset>102235</wp:posOffset>
                      </wp:positionV>
                      <wp:extent cx="346710" cy="0"/>
                      <wp:effectExtent l="0" t="19050" r="34290" b="19050"/>
                      <wp:wrapNone/>
                      <wp:docPr id="450502263" name="直接连接符 1"/>
                      <wp:cNvGraphicFramePr/>
                      <a:graphic xmlns:a="http://schemas.openxmlformats.org/drawingml/2006/main">
                        <a:graphicData uri="http://schemas.microsoft.com/office/word/2010/wordprocessingShape">
                          <wps:wsp>
                            <wps:cNvCnPr/>
                            <wps:spPr>
                              <a:xfrm flipV="1">
                                <a:off x="0" y="0"/>
                                <a:ext cx="3467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2.15pt;margin-top:8.05pt;height:0pt;width:27.3pt;z-index:251673600;mso-width-relative:page;mso-height-relative:page;" filled="f" stroked="t" coordsize="21600,21600" o:gfxdata="UEsDBAoAAAAAAIdO4kAAAAAAAAAAAAAAAAAEAAAAZHJzL1BLAwQUAAAACACHTuJAx0rYr9QAAAAH&#10;AQAADwAAAGRycy9kb3ducmV2LnhtbE2Oy07DMBBF90j8gzVIbBB1Uqq2hDgVQrALC1qQWE7jaRKw&#10;x1HsPvh7BrGA5X3o3lOuTt6pA42xD2wgn2SgiJtge24NvG6erpegYkK26AKTgS+KsKrOz0osbDjy&#10;Cx3WqVUywrFAA11KQ6F1bDryGCdhIJZsF0aPSeTYajviUca909Msm2uPPctDhwM9dNR8rvfeQKjr&#10;9zjaqzo8L3DzuLt3s4/4ZszlRZ7dgUp0Sn9l+MEXdKiEaRv2bKNyBqazG2mKP89BSb5Y3oLa/mpd&#10;lfo/f/UNUEsDBBQAAAAIAIdO4kDoecjkBgIAAOUDAAAOAAAAZHJzL2Uyb0RvYy54bWytU8ty0zAU&#10;3TPDP2i0J3bSPIonToc2lA3QzPDYK7Jsa0av0VXj5Cf4AWbYlRVL9v0bymdwJbsByqYLNvLVfRzd&#10;c+718myvFdkJD9Kako5HOSXCcFtJ05T0w/vLZ6eUQGCmYsoaUdKDAHq2evpk2blCTGxrVSU8QRAD&#10;RedK2obgiiwD3grNYGSdMBisrdcs4NU3WeVZh+haZZM8n2ed9ZXzlgsA9K77IB0Q/WMAbV1LLtaW&#10;X2thQo/qhWIBKUErHdBV6rauBQ9XdQ0iEFVSZBrSiY+gvY1ntlqyovHMtZIPLbDHtPCAk2bS4KNH&#10;qDULjFx7+Q+UltxbsHUYcauznkhSBFmM8wfavGuZE4kLSg3uKDr8P1j+drfxRFYlnc7yWT6ZzE8o&#10;MUzj4O8+f//x6ebn7Rc87759JeMoVuegwJoLs/HDDdzGR+b72mtSK+k+4lYlLZAd2SepD0epxT4Q&#10;js6T6XwxxiHw+1DWI0Qk5yG8ElaTaJRUSRNFYAXbvYaAr2LqfUp0G3splUqDVIZ0JZ2czhYzhGa4&#10;nTVuBZraIUMwDSVMNbj2PPgECVbJKpZHIPDN9kJ5smO4LNMXi5fn531SyyrRe5/P8nxYGmDhja16&#10;9xil6/3Y2wCT+vwLPza9ZtD2NSkUJcUSZfATpe3FjNbWVoekcfLj9FPisKlxvf68p+rff+f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K2K/UAAAABwEAAA8AAAAAAAAAAQAgAAAAIgAAAGRycy9k&#10;b3ducmV2LnhtbFBLAQIUABQAAAAIAIdO4kDoecjkBgIAAOUDAAAOAAAAAAAAAAEAIAAAACMBAABk&#10;cnMvZTJvRG9jLnhtbFBLBQYAAAAABgAGAFkBAACbBQ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2</w:t>
            </w:r>
          </w:p>
        </w:tc>
        <w:tc>
          <w:tcPr>
            <w:tcW w:w="1749" w:type="dxa"/>
            <w:vAlign w:val="center"/>
          </w:tcPr>
          <w:p>
            <w:pPr>
              <w:adjustRightInd w:val="0"/>
              <w:snapToGrid w:val="0"/>
              <w:jc w:val="center"/>
              <w:rPr>
                <w:color w:val="auto"/>
                <w:sz w:val="21"/>
                <w:szCs w:val="21"/>
              </w:rPr>
            </w:pPr>
            <w:r>
              <w:rPr>
                <w:rFonts w:hint="eastAsia"/>
                <w:color w:val="auto"/>
                <w:sz w:val="21"/>
                <w:szCs w:val="21"/>
              </w:rPr>
              <w:t>撒播草籽</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4624" behindDoc="0" locked="0" layoutInCell="1" allowOverlap="1">
                      <wp:simplePos x="0" y="0"/>
                      <wp:positionH relativeFrom="column">
                        <wp:posOffset>133985</wp:posOffset>
                      </wp:positionH>
                      <wp:positionV relativeFrom="paragraph">
                        <wp:posOffset>112395</wp:posOffset>
                      </wp:positionV>
                      <wp:extent cx="187325" cy="0"/>
                      <wp:effectExtent l="0" t="19050" r="22225" b="19050"/>
                      <wp:wrapNone/>
                      <wp:docPr id="501478672" name="直接连接符 1"/>
                      <wp:cNvGraphicFramePr/>
                      <a:graphic xmlns:a="http://schemas.openxmlformats.org/drawingml/2006/main">
                        <a:graphicData uri="http://schemas.microsoft.com/office/word/2010/wordprocessingShape">
                          <wps:wsp>
                            <wps:cNvCnPr/>
                            <wps:spPr>
                              <a:xfrm flipV="1">
                                <a:off x="0" y="0"/>
                                <a:ext cx="187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0.55pt;margin-top:8.85pt;height:0pt;width:14.75pt;z-index:251674624;mso-width-relative:page;mso-height-relative:page;" filled="f" stroked="t" coordsize="21600,21600" o:gfxdata="UEsDBAoAAAAAAIdO4kAAAAAAAAAAAAAAAAAEAAAAZHJzL1BLAwQUAAAACACHTuJAxCqc2dMAAAAH&#10;AQAADwAAAGRycy9kb3ducmV2LnhtbE2Oy07DMBBF90j8gzVIbBC1U0GDQpwKIdiFBS1ILN14mgTs&#10;cWS7D/6eQSzK8j5076mXR+/EHmMaA2koZgoEUhfsSL2Gt/Xz9R2IlA1Z4wKhhm9MsGzOz2pT2XCg&#10;V9yvci94hFJlNAw5T5WUqRvQmzQLExJn2xC9ySxjL200Bx73Ts6VWkhvRuKHwUz4OGD3tdp5DaFt&#10;P1K0V214Kc36afvgbj7Tu9aXF4W6B5HxmE9l+MVndGiYaRN2ZJNwGuZFwU32yxIE57dqAWLzp2VT&#10;y//8zQ9QSwMEFAAAAAgAh07iQKg2wnEEAgAA5QMAAA4AAABkcnMvZTJvRG9jLnhtbK1Ty47TMBTd&#10;I/EPlvc0SZlOS9R0xEwZNjwq8di7jpNY8ku+nqb9CX4AiR2sWLLnbxg+g2snLTBsZsHGse/j+J7j&#10;k+XFXiuyEx6kNRUtJjklwnBbS9NW9N3b60cLSiAwUzNljajoQQC9WD18sOxdKaa2s6oWniCIgbJ3&#10;Fe1CcGWWAe+EZjCxThhMNtZrFvDo26z2rEd0rbJpnp9nvfW185YLAIyuhyQdEf19AG3TSC7Wlt9o&#10;YcKA6oViASlBJx3QVZq2aQQPr5sGRCCqosg0pBUvwf02rtlqycrWM9dJPo7A7jPCHU6aSYOXnqDW&#10;LDBy4+U/UFpyb8E2YcKtzgYiSRFkUeR3tHnTMScSF5Qa3El0+H+w/NVu44msKzrLi7P54nw+pcQw&#10;jQ9/+/Hbjw+ff37/hOvt1y+kiGL1DkrsuTIbP57AbXxkvm+8Jo2S7j26KmmB7Mg+SX04SS32gXAM&#10;Fov54+mMEn5MZQNCRHIewnNhNYmbiippogisZLsXEPBWLD2WxLCx11Kp9JDKkL6i08VsHqEZurNB&#10;V+BWO2QIpqWEqRZtz4NPkGCVrGN7BALfbq+UJzuGZjl7On92eTkUdawWQ/TJLM9H0wALL209hIv8&#10;GMfZRpg051/4ceg1g27oSakoKbYog58o7SBm3G1tfUgapzi+fiocnRrt9ec5df/+O1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qnNnTAAAABwEAAA8AAAAAAAAAAQAgAAAAIgAAAGRycy9kb3du&#10;cmV2LnhtbFBLAQIUABQAAAAIAIdO4kCoNsJxBAIAAOUDAAAOAAAAAAAAAAEAIAAAACIBAABkcnMv&#10;ZTJvRG9jLnhtbFBLBQYAAAAABgAGAFkBAACYBQAAAAA=&#10;">
                      <v:fill on="f" focussize="0,0"/>
                      <v:stroke weight="2.25pt" color="#4A7EBB [3204]" joinstyle="round"/>
                      <v:imagedata o:title=""/>
                      <o:lock v:ext="edit" aspectratio="f"/>
                    </v:line>
                  </w:pict>
                </mc:Fallback>
              </mc:AlternateContent>
            </w: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3</w:t>
            </w:r>
          </w:p>
        </w:tc>
        <w:tc>
          <w:tcPr>
            <w:tcW w:w="1749" w:type="dxa"/>
            <w:vAlign w:val="center"/>
          </w:tcPr>
          <w:p>
            <w:pPr>
              <w:adjustRightInd w:val="0"/>
              <w:snapToGrid w:val="0"/>
              <w:jc w:val="center"/>
              <w:rPr>
                <w:color w:val="auto"/>
                <w:sz w:val="21"/>
                <w:szCs w:val="21"/>
              </w:rPr>
            </w:pPr>
            <w:r>
              <w:rPr>
                <w:rFonts w:hint="eastAsia"/>
                <w:color w:val="auto"/>
                <w:sz w:val="21"/>
                <w:szCs w:val="21"/>
              </w:rPr>
              <w:t>临时苫盖</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-1532890</wp:posOffset>
                      </wp:positionH>
                      <wp:positionV relativeFrom="paragraph">
                        <wp:posOffset>90170</wp:posOffset>
                      </wp:positionV>
                      <wp:extent cx="2880995" cy="0"/>
                      <wp:effectExtent l="0" t="19050" r="33655" b="19050"/>
                      <wp:wrapNone/>
                      <wp:docPr id="1892723669" name="直接连接符 1"/>
                      <wp:cNvGraphicFramePr/>
                      <a:graphic xmlns:a="http://schemas.openxmlformats.org/drawingml/2006/main">
                        <a:graphicData uri="http://schemas.microsoft.com/office/word/2010/wordprocessingShape">
                          <wps:wsp>
                            <wps:cNvCnPr/>
                            <wps:spPr>
                              <a:xfrm flipV="1">
                                <a:off x="0" y="0"/>
                                <a:ext cx="288099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120.7pt;margin-top:7.1pt;height:0pt;width:226.85pt;z-index:251665408;mso-width-relative:page;mso-height-relative:page;" filled="f" stroked="t" coordsize="21600,21600" o:gfxdata="UEsDBAoAAAAAAIdO4kAAAAAAAAAAAAAAAAAEAAAAZHJzL1BLAwQUAAAACACHTuJAF7P1WNcAAAAK&#10;AQAADwAAAGRycy9kb3ducmV2LnhtbE2PTU/DMAyG70j8h8hIXNCWNlQMlaYTQnArBzaQdvQary0k&#10;TtVkH/x7gjiMo/0+ev24Wp6cFQeawuBZQz7PQBC33gzcaXhfv8zuQYSIbNB6Jg3fFGBZX15UWBp/&#10;5Dc6rGInUgmHEjX0MY6llKHtyWGY+5E4ZTs/OYxpnDppJjymcmelyrI76XDgdKHHkZ56ar9We6fB&#10;N80mTOam8a8LXD/vHm3xGT60vr7KswcQkU7xDMOvflKHOjlt/Z5NEFbDTBV5kdiUFApEIlSubkFs&#10;/xayruT/F+ofUEsDBBQAAAAIAIdO4kATS3h8BAIAAOcDAAAOAAAAZHJzL2Uyb0RvYy54bWytk8uO&#10;0zAUhvdIvIPlPU1a6C1qOmKmDBsulbjsXcdJLPkmH0/TvgQvgMQOVizZ8zYMj8GxkxYYNrNg49jH&#10;Pp/P//tkdXHQiuyFB2lNScejnBJhuK2kaUr67u31owUlEJipmLJGlPQogF6sHz5Yda4QE9taVQlP&#10;EGKg6FxJ2xBckWXAW6EZjKwTBjdr6zULuPRNVnnWIV2rbJLns6yzvnLecgGA0U2/SQeivw/Q1rXk&#10;YmP5jRYm9FQvFAsoCVrpgK5TtXUteHhd1yACUSVFpSGNeAnOd3HM1itWNJ65VvKhBHafEu5o0kwa&#10;vPSM2rDAyI2X/6C05N6CrcOIW531QpIjqGKc3/HmTcucSFrQanBn0+H/Yfmr/dYTWWEnLJaT+eTx&#10;bLakxDCNL3/78duPD59/fv+E4+3XL2Qc3eocFJh0ZbZ+WIHb+ij9UHtNaiXde4QlM1AeOSSvj2ev&#10;xSEQjsHJYpEvl1NK+Gkv6xER5TyE58JqEiclVdJEG1jB9i8g4LV49HQkho29lkqlp1SGdBE+nUc0&#10;w/6ssS9wqh1qBNNQwlSDjc+DT0iwSlYxPYLAN7sr5cmeYbs8eTp/dnnZH2pZJfrocprnQ9sACy9t&#10;1YfH+SmOtQ2YVOdf/Fj0hkHb56St6CmmKIOf6G3vZpztbHVMJqc4vn86OPRqbLA/1yn79/+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s/VY1wAAAAoBAAAPAAAAAAAAAAEAIAAAACIAAABkcnMv&#10;ZG93bnJldi54bWxQSwECFAAUAAAACACHTuJAE0t4fAQCAADnAwAADgAAAAAAAAABACAAAAAmAQAA&#10;ZHJzL2Uyb0RvYy54bWxQSwUGAAAAAAYABgBZAQAAnAU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4</w:t>
            </w:r>
          </w:p>
        </w:tc>
        <w:tc>
          <w:tcPr>
            <w:tcW w:w="1749" w:type="dxa"/>
            <w:vAlign w:val="center"/>
          </w:tcPr>
          <w:p>
            <w:pPr>
              <w:adjustRightInd w:val="0"/>
              <w:snapToGrid w:val="0"/>
              <w:jc w:val="center"/>
              <w:rPr>
                <w:color w:val="auto"/>
                <w:sz w:val="21"/>
                <w:szCs w:val="21"/>
              </w:rPr>
            </w:pPr>
            <w:r>
              <w:rPr>
                <w:rFonts w:hint="eastAsia"/>
                <w:color w:val="auto"/>
                <w:sz w:val="21"/>
                <w:szCs w:val="21"/>
              </w:rPr>
              <w:t>苫盖拆除</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6672" behindDoc="0" locked="0" layoutInCell="1" allowOverlap="1">
                      <wp:simplePos x="0" y="0"/>
                      <wp:positionH relativeFrom="column">
                        <wp:posOffset>-499745</wp:posOffset>
                      </wp:positionH>
                      <wp:positionV relativeFrom="paragraph">
                        <wp:posOffset>95885</wp:posOffset>
                      </wp:positionV>
                      <wp:extent cx="2880995" cy="0"/>
                      <wp:effectExtent l="0" t="19050" r="33655" b="19050"/>
                      <wp:wrapNone/>
                      <wp:docPr id="907898033" name="直接连接符 1"/>
                      <wp:cNvGraphicFramePr/>
                      <a:graphic xmlns:a="http://schemas.openxmlformats.org/drawingml/2006/main">
                        <a:graphicData uri="http://schemas.microsoft.com/office/word/2010/wordprocessingShape">
                          <wps:wsp>
                            <wps:cNvCnPr/>
                            <wps:spPr>
                              <a:xfrm flipV="1">
                                <a:off x="0" y="0"/>
                                <a:ext cx="288099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39.35pt;margin-top:7.55pt;height:0pt;width:226.85pt;z-index:251676672;mso-width-relative:page;mso-height-relative:page;" filled="f" stroked="t" coordsize="21600,21600" o:gfxdata="UEsDBAoAAAAAAIdO4kAAAAAAAAAAAAAAAAAEAAAAZHJzL1BLAwQUAAAACACHTuJAPYFEB9cAAAAJ&#10;AQAADwAAAGRycy9kb3ducmV2LnhtbE2PzU7DMBCE70i8g7VIXFDrBCipQpwKIbiFQ1sq9biN3SRg&#10;ryPb/eHtWcQBjjvzaXamWpydFUcT4uBJQT7NQBhqvR6oU/C+fp3MQcSEpNF6Mgq+TIRFfXlRYan9&#10;iZbmuEqd4BCKJSroUxpLKWPbG4dx6kdD7O19cJj4DJ3UAU8c7qy8zbIH6XAg/tDjaJ57036uDk6B&#10;b5ptDPqm8W8Frl/2T/b+I26Uur7Ks0cQyZzTHww/9bk61Nxp5w+ko7AKJsW8YJSNWQ6CgbtixuN2&#10;v4KsK/l/Qf0NUEsDBBQAAAAIAIdO4kDQ47riAwIAAOYDAAAOAAAAZHJzL2Uyb0RvYy54bWytU8uO&#10;0zAU3SPxD5b3NGmH0jZqOmKmDBselXjsXcdJLPklX0/T/gQ/gMQOVizZz9/M8BlcO2mBYTMLNo59&#10;H8f3HJ8sz/dakZ3wIK0p6XiUUyIMt5U0TUk/vL96MqcEAjMVU9aIkh4E0PPV40fLzhViYlurKuEJ&#10;ghgoOlfSNgRXZBnwVmgGI+uEwWRtvWYBj77JKs86RNcqm+T5s6yzvnLecgGA0XWfpAOifwigrWvJ&#10;xdryay1M6FG9UCwgJWilA7pK09a14OFtXYMIRJUUmYa04iW438Y1Wy1Z0XjmWsmHEdhDRrjHSTNp&#10;8NIT1JoFRq69/AdKS+4t2DqMuNVZTyQpgizG+T1t3rXMicQFpQZ3Eh3+Hyx/s9t4IquSLvLZfDHP&#10;z84oMUzjw999/nH76evPmy+43n3/RsZRrM5BgT2XZuOHE7iNj8z3tdekVtJ9RFclLZAd2SepDyep&#10;xT4QjsHJfJ4vFlNK+DGX9RARynkIL4XVJG5KqqSJKrCC7V5BwGux9FgSw8ZeSaXSSypDugg+nUVo&#10;hvas0Ra41Q4pgmkoYapB3/PgEyRYJavYHoHAN9tL5cmOoVuePp+9uLjoi1pWiT66mOb54Bpg4bWt&#10;+vA4P8ZxtgEmzfkXfhx6zaDte1IqaootyuAnaturGXdbWx2SyCmOz58KB6tGf/15Tt2/f8/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2BRAfXAAAACQEAAA8AAAAAAAAAAQAgAAAAIgAAAGRycy9k&#10;b3ducmV2LnhtbFBLAQIUABQAAAAIAIdO4kDQ47riAwIAAOYDAAAOAAAAAAAAAAEAIAAAACYBAABk&#10;cnMvZTJvRG9jLnhtbFBLBQYAAAAABgAGAFkBAACbBQAAAAA=&#10;">
                      <v:fill on="f" focussize="0,0"/>
                      <v:stroke weight="2.25pt" color="#4A7EBB [3204]" joinstyle="round"/>
                      <v:imagedata o:title=""/>
                      <o:lock v:ext="edit" aspectratio="f"/>
                    </v:line>
                  </w:pict>
                </mc:Fallback>
              </mc:AlternateContent>
            </w: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19" w:type="dxa"/>
            <w:vAlign w:val="center"/>
          </w:tcPr>
          <w:p>
            <w:pPr>
              <w:adjustRightInd w:val="0"/>
              <w:snapToGrid w:val="0"/>
              <w:jc w:val="center"/>
              <w:rPr>
                <w:b/>
                <w:bCs/>
                <w:color w:val="auto"/>
                <w:sz w:val="21"/>
                <w:szCs w:val="21"/>
              </w:rPr>
            </w:pPr>
            <w:r>
              <w:rPr>
                <w:rFonts w:hint="eastAsia"/>
                <w:b/>
                <w:bCs/>
                <w:color w:val="auto"/>
                <w:sz w:val="21"/>
                <w:szCs w:val="21"/>
              </w:rPr>
              <w:t>五</w:t>
            </w:r>
          </w:p>
        </w:tc>
        <w:tc>
          <w:tcPr>
            <w:tcW w:w="1749" w:type="dxa"/>
            <w:vAlign w:val="center"/>
          </w:tcPr>
          <w:p>
            <w:pPr>
              <w:adjustRightInd w:val="0"/>
              <w:snapToGrid w:val="0"/>
              <w:jc w:val="center"/>
              <w:rPr>
                <w:b/>
                <w:bCs/>
                <w:color w:val="auto"/>
                <w:sz w:val="21"/>
                <w:szCs w:val="21"/>
              </w:rPr>
            </w:pPr>
            <w:r>
              <w:rPr>
                <w:rFonts w:hint="eastAsia"/>
                <w:b/>
                <w:bCs/>
                <w:color w:val="auto"/>
                <w:sz w:val="21"/>
                <w:szCs w:val="21"/>
              </w:rPr>
              <w:t>施工生产区</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819" w:type="dxa"/>
            <w:vAlign w:val="center"/>
          </w:tcPr>
          <w:p>
            <w:pPr>
              <w:adjustRightInd w:val="0"/>
              <w:snapToGrid w:val="0"/>
              <w:jc w:val="center"/>
              <w:rPr>
                <w:color w:val="auto"/>
                <w:sz w:val="21"/>
                <w:szCs w:val="21"/>
              </w:rPr>
            </w:pPr>
            <w:r>
              <w:rPr>
                <w:rFonts w:hint="eastAsia"/>
                <w:color w:val="auto"/>
                <w:sz w:val="21"/>
                <w:szCs w:val="21"/>
              </w:rPr>
              <w:t>1</w:t>
            </w:r>
          </w:p>
        </w:tc>
        <w:tc>
          <w:tcPr>
            <w:tcW w:w="1749" w:type="dxa"/>
            <w:vAlign w:val="center"/>
          </w:tcPr>
          <w:p>
            <w:pPr>
              <w:adjustRightInd w:val="0"/>
              <w:snapToGrid w:val="0"/>
              <w:jc w:val="center"/>
              <w:rPr>
                <w:b/>
                <w:bCs/>
                <w:color w:val="auto"/>
                <w:sz w:val="21"/>
                <w:szCs w:val="21"/>
              </w:rPr>
            </w:pPr>
            <w:r>
              <w:rPr>
                <w:rFonts w:hint="eastAsia"/>
                <w:color w:val="auto"/>
                <w:sz w:val="21"/>
                <w:szCs w:val="21"/>
              </w:rPr>
              <w:t>全面整地</w:t>
            </w: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p>
        </w:tc>
        <w:tc>
          <w:tcPr>
            <w:tcW w:w="767" w:type="dxa"/>
            <w:vAlign w:val="center"/>
          </w:tcPr>
          <w:p>
            <w:pPr>
              <w:jc w:val="center"/>
              <w:rPr>
                <w:color w:val="auto"/>
                <w:sz w:val="20"/>
                <w:szCs w:val="20"/>
              </w:rPr>
            </w:pPr>
          </w:p>
        </w:tc>
        <w:tc>
          <w:tcPr>
            <w:tcW w:w="567" w:type="dxa"/>
            <w:vAlign w:val="center"/>
          </w:tcPr>
          <w:p>
            <w:pPr>
              <w:jc w:val="center"/>
              <w:rPr>
                <w:color w:val="auto"/>
                <w:sz w:val="20"/>
                <w:szCs w:val="20"/>
              </w:rPr>
            </w:pPr>
          </w:p>
        </w:tc>
        <w:tc>
          <w:tcPr>
            <w:tcW w:w="598" w:type="dxa"/>
            <w:vAlign w:val="center"/>
          </w:tcPr>
          <w:p>
            <w:pPr>
              <w:jc w:val="center"/>
              <w:rPr>
                <w:color w:val="auto"/>
                <w:sz w:val="20"/>
                <w:szCs w:val="20"/>
              </w:rPr>
            </w:pPr>
          </w:p>
        </w:tc>
        <w:tc>
          <w:tcPr>
            <w:tcW w:w="643" w:type="dxa"/>
            <w:vAlign w:val="center"/>
          </w:tcPr>
          <w:p>
            <w:pPr>
              <w:jc w:val="center"/>
              <w:rPr>
                <w:color w:val="auto"/>
                <w:sz w:val="20"/>
                <w:szCs w:val="20"/>
              </w:rPr>
            </w:pPr>
          </w:p>
        </w:tc>
        <w:tc>
          <w:tcPr>
            <w:tcW w:w="643" w:type="dxa"/>
            <w:vAlign w:val="center"/>
          </w:tcPr>
          <w:p>
            <w:pPr>
              <w:jc w:val="center"/>
              <w:rPr>
                <w:color w:val="auto"/>
                <w:sz w:val="20"/>
                <w:szCs w:val="20"/>
              </w:rPr>
            </w:pPr>
            <w:r>
              <w:rPr>
                <w:color w:val="auto"/>
                <w:sz w:val="20"/>
                <w:szCs w:val="20"/>
              </w:rPr>
              <mc:AlternateContent>
                <mc:Choice Requires="wps">
                  <w:drawing>
                    <wp:anchor distT="0" distB="0" distL="114300" distR="114300" simplePos="0" relativeHeight="251677696" behindDoc="0" locked="0" layoutInCell="1" allowOverlap="1">
                      <wp:simplePos x="0" y="0"/>
                      <wp:positionH relativeFrom="column">
                        <wp:posOffset>-76200</wp:posOffset>
                      </wp:positionH>
                      <wp:positionV relativeFrom="paragraph">
                        <wp:posOffset>104140</wp:posOffset>
                      </wp:positionV>
                      <wp:extent cx="187325" cy="0"/>
                      <wp:effectExtent l="0" t="19050" r="22225" b="19050"/>
                      <wp:wrapNone/>
                      <wp:docPr id="1738941618" name="直接连接符 1"/>
                      <wp:cNvGraphicFramePr/>
                      <a:graphic xmlns:a="http://schemas.openxmlformats.org/drawingml/2006/main">
                        <a:graphicData uri="http://schemas.microsoft.com/office/word/2010/wordprocessingShape">
                          <wps:wsp>
                            <wps:cNvCnPr/>
                            <wps:spPr>
                              <a:xfrm flipV="1">
                                <a:off x="0" y="0"/>
                                <a:ext cx="187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flip:y;margin-left:-6pt;margin-top:8.2pt;height:0pt;width:14.75pt;z-index:251677696;mso-width-relative:page;mso-height-relative:page;" filled="f" stroked="t" coordsize="21600,21600" o:gfxdata="UEsDBAoAAAAAAIdO4kAAAAAAAAAAAAAAAAAEAAAAZHJzL1BLAwQUAAAACACHTuJAMMSltdYAAAAI&#10;AQAADwAAAGRycy9kb3ducmV2LnhtbE2PzU7DMBCE75V4B2srcalaJ1VpUYhTIQS3cKAFieM23iah&#10;9jqy3R/eHlcc4Dia0cw35fpijTiRD71jBfksA0HcON1zq+B9+zK9BxEiskbjmBR8U4B1dTMqsdDu&#10;zG902sRWpBIOBSroYhwKKUPTkcUwcwNx8vbOW4xJ+lZqj+dUbo2cZ9lSWuw5LXQ40FNHzWFztApc&#10;XX8Grye1e13h9nn/aBZf4UOp23GePYCIdIl/YbjiJ3SoEtPOHVkHYRRM83n6EpOxXIC4BlZ3IHa/&#10;Wlal/H+g+gFQSwMEFAAAAAgAh07iQJxSzsQFAgAA5gMAAA4AAABkcnMvZTJvRG9jLnhtbK1TS27b&#10;MBDdF+gdCO5rSU4cO4LloImbbvox0M+epiiJAH/gMJZziV6gQHftqsvue5umx+iQkt023WTRDTWc&#10;z+O8N6PlxV4rshMepDUVLSY5JcJwW0vTVvTd2+snC0ogMFMzZY2o6K0AerF6/GjZu1JMbWdVLTxB&#10;EANl7yraheDKLAPeCc1gYp0wGGys1yzg1bdZ7VmP6Fpl0zw/y3rra+ctFwDoXQ9BOiL6hwDappFc&#10;rC2/0cKEAdULxQJSgk46oKvUbdMIHl43DYhAVEWRaUgnPoL2Np7ZasnK1jPXST62wB7Swj1OmkmD&#10;jx6h1iwwcuPlP1Bacm/BNmHCrc4GIkkRZFHk97R50zEnEheUGtxRdPh/sPzVbuOJrHET5ieL89Pi&#10;rMD5G6Zx8ncfv/348Pnn90943n39QoqoVu+gxKIrs/HjDdzGR+r7xmvSKOneI1gSA+mRfdL69qi1&#10;2AfC0Vks5ifTGSX8EMoGhIjkPITnwmoSjYoqaaIKrGS7FxDwVUw9pES3sddSqTRJZUhf0eliNo/Q&#10;DNezwbVAUzukCKalhKkW954HnyDBKlnH8ggEvt1eKU92DLfl9On82eXlkNSxWgze81mej1sDLLy0&#10;9eAu8oMfexthUp9/4cem1wy6oSaFoqRYogx+orSDmNHa2vo2aZz8OP6UOK5q3K8/76n69++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xKW11gAAAAgBAAAPAAAAAAAAAAEAIAAAACIAAABkcnMv&#10;ZG93bnJldi54bWxQSwECFAAUAAAACACHTuJAnFLOxAUCAADmAwAADgAAAAAAAAABACAAAAAlAQAA&#10;ZHJzL2Uyb0RvYy54bWxQSwUGAAAAAAYABgBZAQAAnAUAAAAA&#10;">
                      <v:fill on="f" focussize="0,0"/>
                      <v:stroke weight="2.25pt" color="#4A7EBB [3204]" joinstyle="round"/>
                      <v:imagedata o:title=""/>
                      <o:lock v:ext="edit" aspectratio="f"/>
                    </v:line>
                  </w:pict>
                </mc:Fallback>
              </mc:AlternateContent>
            </w:r>
          </w:p>
        </w:tc>
        <w:tc>
          <w:tcPr>
            <w:tcW w:w="643" w:type="dxa"/>
            <w:vAlign w:val="center"/>
          </w:tcPr>
          <w:p>
            <w:pPr>
              <w:jc w:val="center"/>
              <w:rPr>
                <w:color w:val="auto"/>
                <w:sz w:val="20"/>
                <w:szCs w:val="20"/>
              </w:rPr>
            </w:pPr>
          </w:p>
        </w:tc>
        <w:tc>
          <w:tcPr>
            <w:tcW w:w="734" w:type="dxa"/>
            <w:vAlign w:val="center"/>
          </w:tcPr>
          <w:p>
            <w:pPr>
              <w:jc w:val="center"/>
              <w:rPr>
                <w:color w:val="auto"/>
                <w:sz w:val="20"/>
                <w:szCs w:val="20"/>
              </w:rPr>
            </w:pPr>
          </w:p>
        </w:tc>
      </w:tr>
    </w:tbl>
    <w:p>
      <w:pPr>
        <w:pStyle w:val="11"/>
        <w:adjustRightInd w:val="0"/>
        <w:snapToGrid w:val="0"/>
        <w:spacing w:after="0" w:line="300" w:lineRule="auto"/>
        <w:contextualSpacing/>
        <w:jc w:val="center"/>
        <w:rPr>
          <w:b/>
          <w:color w:val="auto"/>
          <w:sz w:val="21"/>
          <w:szCs w:val="21"/>
        </w:rPr>
      </w:pPr>
    </w:p>
    <w:p>
      <w:pPr>
        <w:adjustRightInd w:val="0"/>
        <w:snapToGrid w:val="0"/>
        <w:spacing w:line="360" w:lineRule="auto"/>
        <w:contextualSpacing/>
        <w:rPr>
          <w:color w:val="auto"/>
          <w:sz w:val="24"/>
        </w:rPr>
        <w:sectPr>
          <w:headerReference r:id="rId16" w:type="default"/>
          <w:pgSz w:w="11906" w:h="16838"/>
          <w:pgMar w:top="1440" w:right="1800" w:bottom="1440" w:left="1800" w:header="851" w:footer="992" w:gutter="0"/>
          <w:cols w:space="425" w:num="1"/>
          <w:docGrid w:type="lines" w:linePitch="312" w:charSpace="0"/>
        </w:sectPr>
      </w:pPr>
    </w:p>
    <w:p>
      <w:pPr>
        <w:spacing w:line="360" w:lineRule="auto"/>
        <w:contextualSpacing/>
        <w:jc w:val="center"/>
        <w:outlineLvl w:val="0"/>
        <w:rPr>
          <w:b/>
          <w:bCs/>
          <w:color w:val="auto"/>
          <w:sz w:val="36"/>
          <w:szCs w:val="36"/>
        </w:rPr>
      </w:pPr>
      <w:bookmarkStart w:id="157" w:name="_Toc486320448"/>
      <w:bookmarkStart w:id="158" w:name="_Toc320623141"/>
      <w:bookmarkStart w:id="159" w:name="_Toc522647741"/>
      <w:bookmarkStart w:id="160" w:name="_Toc320625933"/>
      <w:bookmarkStart w:id="161" w:name="_Toc521945674"/>
      <w:bookmarkStart w:id="162" w:name="_Toc145530070"/>
      <w:r>
        <w:rPr>
          <w:b/>
          <w:bCs/>
          <w:color w:val="auto"/>
          <w:sz w:val="36"/>
          <w:szCs w:val="36"/>
        </w:rPr>
        <w:t xml:space="preserve">6 </w:t>
      </w:r>
      <w:bookmarkEnd w:id="157"/>
      <w:bookmarkEnd w:id="158"/>
      <w:bookmarkEnd w:id="159"/>
      <w:bookmarkEnd w:id="160"/>
      <w:bookmarkEnd w:id="161"/>
      <w:r>
        <w:rPr>
          <w:b/>
          <w:bCs/>
          <w:color w:val="auto"/>
          <w:sz w:val="36"/>
          <w:szCs w:val="36"/>
        </w:rPr>
        <w:t>水土保持投资估算及效益分析</w:t>
      </w:r>
      <w:bookmarkEnd w:id="162"/>
    </w:p>
    <w:p>
      <w:pPr>
        <w:spacing w:line="360" w:lineRule="auto"/>
        <w:contextualSpacing/>
        <w:outlineLvl w:val="1"/>
        <w:rPr>
          <w:b/>
          <w:bCs/>
          <w:color w:val="auto"/>
          <w:sz w:val="30"/>
          <w:szCs w:val="30"/>
        </w:rPr>
      </w:pPr>
      <w:bookmarkStart w:id="163" w:name="_Toc320625934"/>
      <w:bookmarkStart w:id="164" w:name="_Toc320623142"/>
      <w:bookmarkStart w:id="165" w:name="_Toc522647742"/>
      <w:bookmarkStart w:id="166" w:name="_Toc145530071"/>
      <w:bookmarkStart w:id="167" w:name="_Toc486320449"/>
      <w:r>
        <w:rPr>
          <w:b/>
          <w:bCs/>
          <w:color w:val="auto"/>
          <w:sz w:val="30"/>
          <w:szCs w:val="30"/>
        </w:rPr>
        <w:t>6.1投资</w:t>
      </w:r>
      <w:bookmarkEnd w:id="163"/>
      <w:bookmarkEnd w:id="164"/>
      <w:r>
        <w:rPr>
          <w:b/>
          <w:bCs/>
          <w:color w:val="auto"/>
          <w:sz w:val="30"/>
          <w:szCs w:val="30"/>
        </w:rPr>
        <w:t>估算</w:t>
      </w:r>
      <w:bookmarkEnd w:id="165"/>
      <w:bookmarkEnd w:id="166"/>
      <w:bookmarkEnd w:id="167"/>
    </w:p>
    <w:p>
      <w:pPr>
        <w:spacing w:line="360" w:lineRule="auto"/>
        <w:contextualSpacing/>
        <w:outlineLvl w:val="2"/>
        <w:rPr>
          <w:b/>
          <w:bCs/>
          <w:color w:val="auto"/>
          <w:sz w:val="28"/>
          <w:szCs w:val="28"/>
        </w:rPr>
      </w:pPr>
      <w:bookmarkStart w:id="168" w:name="_Toc302141175"/>
      <w:bookmarkStart w:id="169" w:name="_Toc320623143"/>
      <w:r>
        <w:rPr>
          <w:b/>
          <w:bCs/>
          <w:color w:val="auto"/>
          <w:sz w:val="28"/>
          <w:szCs w:val="28"/>
        </w:rPr>
        <w:t>6.1.1 编制原则及依据</w:t>
      </w:r>
      <w:bookmarkEnd w:id="168"/>
      <w:bookmarkEnd w:id="169"/>
    </w:p>
    <w:p>
      <w:pPr>
        <w:adjustRightInd w:val="0"/>
        <w:snapToGrid w:val="0"/>
        <w:spacing w:line="360" w:lineRule="auto"/>
        <w:contextualSpacing/>
        <w:outlineLvl w:val="2"/>
        <w:rPr>
          <w:b/>
          <w:bCs/>
          <w:color w:val="auto"/>
          <w:sz w:val="24"/>
        </w:rPr>
      </w:pPr>
      <w:bookmarkStart w:id="170" w:name="_Toc302141176"/>
      <w:bookmarkStart w:id="171" w:name="_Toc289497980"/>
      <w:bookmarkStart w:id="172" w:name="_Toc299551275"/>
      <w:bookmarkStart w:id="173" w:name="_Toc296696787"/>
      <w:bookmarkStart w:id="174" w:name="_Toc211574305"/>
      <w:bookmarkStart w:id="175" w:name="_Toc212542853"/>
      <w:bookmarkStart w:id="176" w:name="_Toc411498867"/>
      <w:bookmarkStart w:id="177" w:name="_Toc320625935"/>
      <w:bookmarkStart w:id="178" w:name="_Toc411498520"/>
      <w:bookmarkStart w:id="179" w:name="_Toc205263473"/>
      <w:r>
        <w:rPr>
          <w:b/>
          <w:bCs/>
          <w:color w:val="auto"/>
          <w:sz w:val="24"/>
        </w:rPr>
        <w:t>6.1.1.1 编制原则</w:t>
      </w:r>
      <w:bookmarkEnd w:id="170"/>
      <w:bookmarkEnd w:id="171"/>
      <w:bookmarkEnd w:id="172"/>
      <w:bookmarkEnd w:id="173"/>
      <w:bookmarkEnd w:id="174"/>
      <w:bookmarkEnd w:id="175"/>
      <w:bookmarkEnd w:id="176"/>
      <w:bookmarkEnd w:id="177"/>
      <w:bookmarkEnd w:id="178"/>
      <w:bookmarkEnd w:id="179"/>
    </w:p>
    <w:p>
      <w:pPr>
        <w:adjustRightInd w:val="0"/>
        <w:snapToGrid w:val="0"/>
        <w:spacing w:line="360" w:lineRule="auto"/>
        <w:ind w:firstLine="480" w:firstLineChars="200"/>
        <w:contextualSpacing/>
        <w:rPr>
          <w:color w:val="auto"/>
          <w:sz w:val="24"/>
        </w:rPr>
      </w:pPr>
      <w:bookmarkStart w:id="180" w:name="_Toc411498521"/>
      <w:bookmarkStart w:id="181" w:name="_Toc411498868"/>
      <w:bookmarkStart w:id="182" w:name="_Toc320625936"/>
      <w:r>
        <w:rPr>
          <w:color w:val="auto"/>
          <w:sz w:val="24"/>
        </w:rPr>
        <w:t>（1）水土保持投资估算作为主体工程投资估算的组成部分，计入总投资估算中；</w:t>
      </w:r>
    </w:p>
    <w:p>
      <w:pPr>
        <w:adjustRightInd w:val="0"/>
        <w:snapToGrid w:val="0"/>
        <w:spacing w:line="360" w:lineRule="auto"/>
        <w:ind w:firstLine="480" w:firstLineChars="200"/>
        <w:contextualSpacing/>
        <w:rPr>
          <w:color w:val="auto"/>
          <w:sz w:val="24"/>
        </w:rPr>
      </w:pPr>
      <w:r>
        <w:rPr>
          <w:rFonts w:hint="eastAsia"/>
          <w:color w:val="auto"/>
          <w:sz w:val="24"/>
        </w:rPr>
        <w:t>（2）投资估算编制的项目划分、费用构成、表格形式等依据水土保持工程概（估）算编制规定编写；</w:t>
      </w:r>
    </w:p>
    <w:p>
      <w:pPr>
        <w:adjustRightInd w:val="0"/>
        <w:snapToGrid w:val="0"/>
        <w:spacing w:line="360" w:lineRule="auto"/>
        <w:ind w:firstLine="480" w:firstLineChars="200"/>
        <w:contextualSpacing/>
        <w:rPr>
          <w:color w:val="auto"/>
          <w:sz w:val="24"/>
        </w:rPr>
      </w:pPr>
      <w:r>
        <w:rPr>
          <w:color w:val="auto"/>
          <w:sz w:val="24"/>
        </w:rPr>
        <w:t>（3）估算定额、取费项目及费率与主体工程一致，主体工程定额中没有的项目，人工单价、水、电、柴油等材料价格与主体工程保持一致；</w:t>
      </w:r>
    </w:p>
    <w:p>
      <w:pPr>
        <w:adjustRightInd w:val="0"/>
        <w:snapToGrid w:val="0"/>
        <w:spacing w:line="360" w:lineRule="auto"/>
        <w:ind w:firstLine="480" w:firstLineChars="200"/>
        <w:contextualSpacing/>
        <w:rPr>
          <w:color w:val="auto"/>
          <w:sz w:val="24"/>
        </w:rPr>
      </w:pPr>
      <w:r>
        <w:rPr>
          <w:color w:val="auto"/>
          <w:sz w:val="24"/>
        </w:rPr>
        <w:t>（4）</w:t>
      </w:r>
      <w:r>
        <w:rPr>
          <w:rFonts w:hint="eastAsia"/>
          <w:color w:val="auto"/>
          <w:sz w:val="24"/>
        </w:rPr>
        <w:t>主体工程中具有水土保持功能措施的投资不作为新增投资中独立费用的取费基数。</w:t>
      </w:r>
    </w:p>
    <w:p>
      <w:pPr>
        <w:adjustRightInd w:val="0"/>
        <w:snapToGrid w:val="0"/>
        <w:spacing w:line="360" w:lineRule="auto"/>
        <w:contextualSpacing/>
        <w:outlineLvl w:val="2"/>
        <w:rPr>
          <w:b/>
          <w:bCs/>
          <w:color w:val="auto"/>
          <w:sz w:val="24"/>
        </w:rPr>
      </w:pPr>
      <w:r>
        <w:rPr>
          <w:b/>
          <w:bCs/>
          <w:color w:val="auto"/>
          <w:sz w:val="24"/>
        </w:rPr>
        <w:t>6.1.1.2 编制依据</w:t>
      </w:r>
      <w:bookmarkEnd w:id="180"/>
      <w:bookmarkEnd w:id="181"/>
      <w:bookmarkEnd w:id="182"/>
    </w:p>
    <w:p>
      <w:pPr>
        <w:pStyle w:val="11"/>
        <w:adjustRightInd w:val="0"/>
        <w:snapToGrid w:val="0"/>
        <w:spacing w:after="0" w:line="360" w:lineRule="auto"/>
        <w:ind w:firstLine="480" w:firstLineChars="200"/>
        <w:contextualSpacing/>
        <w:rPr>
          <w:color w:val="auto"/>
          <w:sz w:val="24"/>
        </w:rPr>
      </w:pPr>
      <w:bookmarkStart w:id="183" w:name="_Toc302141179"/>
      <w:bookmarkStart w:id="184" w:name="_Toc296696790"/>
      <w:bookmarkStart w:id="185" w:name="_Toc299551278"/>
      <w:r>
        <w:rPr>
          <w:color w:val="auto"/>
          <w:sz w:val="24"/>
        </w:rPr>
        <w:t>（1）《水土保持工程概（估）算编制规定》（水总〔2003〕67号）；</w:t>
      </w:r>
    </w:p>
    <w:p>
      <w:pPr>
        <w:pStyle w:val="11"/>
        <w:adjustRightInd w:val="0"/>
        <w:snapToGrid w:val="0"/>
        <w:spacing w:after="0" w:line="360" w:lineRule="auto"/>
        <w:ind w:firstLine="480" w:firstLineChars="200"/>
        <w:contextualSpacing/>
        <w:rPr>
          <w:color w:val="auto"/>
          <w:sz w:val="24"/>
        </w:rPr>
      </w:pPr>
      <w:r>
        <w:rPr>
          <w:color w:val="auto"/>
          <w:sz w:val="24"/>
        </w:rPr>
        <w:t>（2）《水土保持工程概算定额》（水总〔2003〕67号）；</w:t>
      </w:r>
    </w:p>
    <w:p>
      <w:pPr>
        <w:pStyle w:val="11"/>
        <w:adjustRightInd w:val="0"/>
        <w:snapToGrid w:val="0"/>
        <w:spacing w:after="0" w:line="360" w:lineRule="auto"/>
        <w:ind w:firstLine="480" w:firstLineChars="200"/>
        <w:contextualSpacing/>
        <w:rPr>
          <w:color w:val="auto"/>
          <w:sz w:val="24"/>
        </w:rPr>
      </w:pPr>
      <w:r>
        <w:rPr>
          <w:color w:val="auto"/>
          <w:sz w:val="24"/>
        </w:rPr>
        <w:t>（3）《水土保持工程施工机械台时费定额》（水总〔2003〕67号）；</w:t>
      </w:r>
    </w:p>
    <w:p>
      <w:pPr>
        <w:pStyle w:val="11"/>
        <w:adjustRightInd w:val="0"/>
        <w:snapToGrid w:val="0"/>
        <w:spacing w:after="0" w:line="360" w:lineRule="auto"/>
        <w:ind w:firstLine="480" w:firstLineChars="200"/>
        <w:contextualSpacing/>
        <w:rPr>
          <w:color w:val="auto"/>
          <w:sz w:val="24"/>
        </w:rPr>
      </w:pPr>
      <w:r>
        <w:rPr>
          <w:color w:val="auto"/>
          <w:sz w:val="24"/>
        </w:rPr>
        <w:t>（4）《关于进一步放开建设工程专业服务价格的通知》（发改价格〔2015〕299号）；</w:t>
      </w:r>
    </w:p>
    <w:p>
      <w:pPr>
        <w:pStyle w:val="11"/>
        <w:adjustRightInd w:val="0"/>
        <w:snapToGrid w:val="0"/>
        <w:spacing w:after="0" w:line="360" w:lineRule="auto"/>
        <w:ind w:firstLine="480" w:firstLineChars="200"/>
        <w:contextualSpacing/>
        <w:rPr>
          <w:color w:val="auto"/>
          <w:sz w:val="24"/>
        </w:rPr>
      </w:pPr>
      <w:r>
        <w:rPr>
          <w:color w:val="auto"/>
          <w:sz w:val="24"/>
        </w:rPr>
        <w:t>（5）《水利部办公厅关于调整水利工程计价依据增值税计算标准的通知》（办财务函〔2019〕448号）；</w:t>
      </w:r>
    </w:p>
    <w:p>
      <w:pPr>
        <w:pStyle w:val="11"/>
        <w:adjustRightInd w:val="0"/>
        <w:snapToGrid w:val="0"/>
        <w:spacing w:after="0" w:line="360" w:lineRule="auto"/>
        <w:ind w:firstLine="480" w:firstLineChars="200"/>
        <w:contextualSpacing/>
        <w:rPr>
          <w:color w:val="auto"/>
          <w:sz w:val="24"/>
        </w:rPr>
      </w:pPr>
      <w:r>
        <w:rPr>
          <w:rFonts w:hint="eastAsia"/>
          <w:color w:val="auto"/>
          <w:sz w:val="24"/>
        </w:rPr>
        <w:t>（</w:t>
      </w:r>
      <w:r>
        <w:rPr>
          <w:color w:val="auto"/>
          <w:sz w:val="24"/>
        </w:rPr>
        <w:t>6</w:t>
      </w:r>
      <w:r>
        <w:rPr>
          <w:rFonts w:hint="eastAsia"/>
          <w:color w:val="auto"/>
          <w:sz w:val="24"/>
        </w:rPr>
        <w:t>）黑龙江省财政厅 黑龙江省物价局 黑龙江省水利厅 中国人民银行哈尔滨中心支行关于印发〈黑龙江省水土保持补偿费征收使用管理实施办法〉的通知》(黑财综〔2016〕21号文)；</w:t>
      </w:r>
    </w:p>
    <w:p>
      <w:pPr>
        <w:pStyle w:val="11"/>
        <w:adjustRightInd w:val="0"/>
        <w:snapToGrid w:val="0"/>
        <w:spacing w:after="0" w:line="360" w:lineRule="auto"/>
        <w:ind w:firstLine="480" w:firstLineChars="200"/>
        <w:contextualSpacing/>
        <w:rPr>
          <w:color w:val="auto"/>
          <w:sz w:val="24"/>
        </w:rPr>
      </w:pPr>
      <w:r>
        <w:rPr>
          <w:color w:val="auto"/>
          <w:sz w:val="24"/>
        </w:rPr>
        <w:t>（7）《黑龙江省物价监督管理局和黑龙江省财政厅印发关于转发〈国家发展改革委财政部关于降低电信网码号资源占用费等部分行政事业性收费标准的通知〉的通知》（黑价联〔2017〕23号）；</w:t>
      </w:r>
    </w:p>
    <w:p>
      <w:pPr>
        <w:pStyle w:val="11"/>
        <w:adjustRightInd w:val="0"/>
        <w:snapToGrid w:val="0"/>
        <w:spacing w:after="0" w:line="360" w:lineRule="auto"/>
        <w:ind w:firstLine="480" w:firstLineChars="200"/>
        <w:contextualSpacing/>
        <w:rPr>
          <w:color w:val="auto"/>
          <w:sz w:val="24"/>
        </w:rPr>
      </w:pPr>
      <w:r>
        <w:rPr>
          <w:color w:val="auto"/>
          <w:sz w:val="24"/>
        </w:rPr>
        <w:t>（8）《黑龙江省水利厅转发省物价监督管理局省财政厅关于降低水土保持补偿费收费标准的通知》（黑水函〔2017〕217号）；</w:t>
      </w:r>
    </w:p>
    <w:p>
      <w:pPr>
        <w:pStyle w:val="11"/>
        <w:adjustRightInd w:val="0"/>
        <w:snapToGrid w:val="0"/>
        <w:spacing w:after="0" w:line="360" w:lineRule="auto"/>
        <w:ind w:firstLine="480" w:firstLineChars="200"/>
        <w:contextualSpacing/>
        <w:rPr>
          <w:color w:val="auto"/>
          <w:sz w:val="24"/>
        </w:rPr>
      </w:pPr>
      <w:r>
        <w:rPr>
          <w:color w:val="auto"/>
          <w:sz w:val="24"/>
        </w:rPr>
        <w:t>（9）《水利部办公厅关于印发〈水利工程营业税改征增值税计价依据调整办法〉的通知》（办水保〔2016〕132号）。</w:t>
      </w:r>
    </w:p>
    <w:bookmarkEnd w:id="183"/>
    <w:bookmarkEnd w:id="184"/>
    <w:bookmarkEnd w:id="185"/>
    <w:p>
      <w:pPr>
        <w:spacing w:line="360" w:lineRule="auto"/>
        <w:contextualSpacing/>
        <w:outlineLvl w:val="2"/>
        <w:rPr>
          <w:b/>
          <w:bCs/>
          <w:color w:val="auto"/>
          <w:sz w:val="28"/>
          <w:szCs w:val="28"/>
        </w:rPr>
      </w:pPr>
      <w:bookmarkStart w:id="186" w:name="_Toc170548509"/>
      <w:bookmarkStart w:id="187" w:name="_Toc389684130"/>
      <w:bookmarkStart w:id="188" w:name="_Toc486320450"/>
      <w:bookmarkStart w:id="189" w:name="_Toc522647744"/>
      <w:r>
        <w:rPr>
          <w:b/>
          <w:bCs/>
          <w:color w:val="auto"/>
          <w:sz w:val="28"/>
          <w:szCs w:val="28"/>
        </w:rPr>
        <w:t>6.1.2 编制说明与估算成果</w:t>
      </w:r>
    </w:p>
    <w:p>
      <w:pPr>
        <w:adjustRightInd w:val="0"/>
        <w:snapToGrid w:val="0"/>
        <w:spacing w:line="360" w:lineRule="auto"/>
        <w:contextualSpacing/>
        <w:outlineLvl w:val="2"/>
        <w:rPr>
          <w:b/>
          <w:bCs/>
          <w:color w:val="auto"/>
          <w:sz w:val="24"/>
        </w:rPr>
      </w:pPr>
      <w:bookmarkStart w:id="190" w:name="_Toc320623144"/>
      <w:bookmarkStart w:id="191" w:name="_Toc289497983"/>
      <w:bookmarkStart w:id="192" w:name="_Toc150674691"/>
      <w:bookmarkStart w:id="193" w:name="_Toc111543923"/>
      <w:bookmarkStart w:id="194" w:name="_Toc90523681"/>
      <w:bookmarkStart w:id="195" w:name="_Toc101872324"/>
      <w:bookmarkStart w:id="196" w:name="_Toc87235272"/>
      <w:bookmarkStart w:id="197" w:name="_Toc91262802"/>
      <w:bookmarkStart w:id="198" w:name="_Toc94080357"/>
      <w:bookmarkStart w:id="199" w:name="_Toc302141180"/>
      <w:bookmarkStart w:id="200" w:name="_Toc136254852"/>
      <w:bookmarkStart w:id="201" w:name="_Toc128287907"/>
      <w:r>
        <w:rPr>
          <w:b/>
          <w:bCs/>
          <w:color w:val="auto"/>
          <w:sz w:val="24"/>
        </w:rPr>
        <w:t xml:space="preserve">6.1.2.1 </w:t>
      </w:r>
      <w:bookmarkEnd w:id="190"/>
      <w:bookmarkEnd w:id="191"/>
      <w:bookmarkEnd w:id="192"/>
      <w:bookmarkEnd w:id="193"/>
      <w:bookmarkEnd w:id="194"/>
      <w:bookmarkEnd w:id="195"/>
      <w:bookmarkEnd w:id="196"/>
      <w:bookmarkEnd w:id="197"/>
      <w:bookmarkEnd w:id="198"/>
      <w:bookmarkEnd w:id="199"/>
      <w:bookmarkEnd w:id="200"/>
      <w:bookmarkEnd w:id="201"/>
      <w:r>
        <w:rPr>
          <w:b/>
          <w:bCs/>
          <w:color w:val="auto"/>
          <w:sz w:val="24"/>
        </w:rPr>
        <w:t>项目划分及费用构成</w:t>
      </w:r>
    </w:p>
    <w:p>
      <w:pPr>
        <w:adjustRightInd w:val="0"/>
        <w:snapToGrid w:val="0"/>
        <w:spacing w:line="360" w:lineRule="auto"/>
        <w:ind w:firstLine="456" w:firstLineChars="200"/>
        <w:contextualSpacing/>
        <w:rPr>
          <w:color w:val="auto"/>
          <w:kern w:val="0"/>
          <w:sz w:val="24"/>
        </w:rPr>
      </w:pPr>
      <w:bookmarkStart w:id="202" w:name="_Toc320623145"/>
      <w:r>
        <w:rPr>
          <w:color w:val="auto"/>
          <w:spacing w:val="-6"/>
          <w:kern w:val="0"/>
          <w:sz w:val="24"/>
        </w:rPr>
        <w:t>水土保持工程投资费用由工程措施费、植物措施费、独立费用、基本预备费</w:t>
      </w:r>
      <w:r>
        <w:rPr>
          <w:color w:val="auto"/>
          <w:kern w:val="0"/>
          <w:sz w:val="24"/>
        </w:rPr>
        <w:t>及水土保持补偿费组成。</w:t>
      </w:r>
    </w:p>
    <w:p>
      <w:pPr>
        <w:pStyle w:val="11"/>
        <w:adjustRightInd w:val="0"/>
        <w:snapToGrid w:val="0"/>
        <w:spacing w:after="0" w:line="360" w:lineRule="auto"/>
        <w:ind w:firstLine="480" w:firstLineChars="200"/>
        <w:contextualSpacing/>
        <w:rPr>
          <w:color w:val="auto"/>
          <w:kern w:val="0"/>
          <w:sz w:val="24"/>
          <w:szCs w:val="22"/>
        </w:rPr>
      </w:pPr>
      <w:r>
        <w:rPr>
          <w:color w:val="auto"/>
          <w:kern w:val="0"/>
          <w:sz w:val="24"/>
          <w:szCs w:val="22"/>
        </w:rPr>
        <w:t>（1）工程措施及植物措施费由直接工程费（</w:t>
      </w:r>
      <w:r>
        <w:rPr>
          <w:color w:val="auto"/>
          <w:spacing w:val="-1"/>
          <w:kern w:val="0"/>
          <w:sz w:val="24"/>
          <w:szCs w:val="22"/>
        </w:rPr>
        <w:t>包括直接费、其他直接费和现</w:t>
      </w:r>
      <w:r>
        <w:rPr>
          <w:color w:val="auto"/>
          <w:kern w:val="0"/>
          <w:sz w:val="24"/>
          <w:szCs w:val="22"/>
        </w:rPr>
        <w:t>场经费）、间接费、企业利润和税金组成；</w:t>
      </w:r>
    </w:p>
    <w:p>
      <w:pPr>
        <w:pStyle w:val="11"/>
        <w:adjustRightInd w:val="0"/>
        <w:snapToGrid w:val="0"/>
        <w:spacing w:after="0" w:line="360" w:lineRule="auto"/>
        <w:ind w:firstLine="476" w:firstLineChars="200"/>
        <w:contextualSpacing/>
        <w:rPr>
          <w:color w:val="auto"/>
          <w:kern w:val="0"/>
          <w:sz w:val="24"/>
          <w:szCs w:val="22"/>
        </w:rPr>
      </w:pPr>
      <w:r>
        <w:rPr>
          <w:color w:val="auto"/>
          <w:spacing w:val="-1"/>
          <w:kern w:val="0"/>
          <w:sz w:val="24"/>
          <w:szCs w:val="22"/>
        </w:rPr>
        <w:t>（2）独立费用由建设管理费、科研勘测设计费、水土保持监测费、水土保</w:t>
      </w:r>
      <w:r>
        <w:rPr>
          <w:color w:val="auto"/>
          <w:kern w:val="0"/>
          <w:sz w:val="24"/>
          <w:szCs w:val="22"/>
        </w:rPr>
        <w:t>持监理费、水土保持设施验收费。</w:t>
      </w:r>
    </w:p>
    <w:p>
      <w:pPr>
        <w:pStyle w:val="90"/>
        <w:ind w:firstLine="422"/>
        <w:contextualSpacing/>
        <w:jc w:val="center"/>
        <w:rPr>
          <w:b/>
          <w:bCs/>
          <w:color w:val="auto"/>
          <w:sz w:val="21"/>
          <w:szCs w:val="21"/>
        </w:rPr>
      </w:pPr>
      <w:r>
        <w:rPr>
          <w:b/>
          <w:bCs/>
          <w:color w:val="auto"/>
          <w:sz w:val="21"/>
          <w:szCs w:val="21"/>
        </w:rPr>
        <w:t>表</w:t>
      </w:r>
      <w:r>
        <w:rPr>
          <w:b/>
          <w:bCs/>
          <w:color w:val="auto"/>
          <w:spacing w:val="-62"/>
          <w:sz w:val="21"/>
          <w:szCs w:val="21"/>
        </w:rPr>
        <w:t xml:space="preserve"> </w:t>
      </w:r>
      <w:r>
        <w:rPr>
          <w:b/>
          <w:bCs/>
          <w:color w:val="auto"/>
          <w:sz w:val="21"/>
          <w:szCs w:val="21"/>
        </w:rPr>
        <w:t>6.1-1</w:t>
      </w:r>
      <w:r>
        <w:rPr>
          <w:b/>
          <w:bCs/>
          <w:color w:val="auto"/>
          <w:sz w:val="21"/>
          <w:szCs w:val="21"/>
        </w:rPr>
        <w:tab/>
      </w:r>
      <w:r>
        <w:rPr>
          <w:b/>
          <w:bCs/>
          <w:color w:val="auto"/>
          <w:sz w:val="21"/>
          <w:szCs w:val="21"/>
        </w:rPr>
        <w:t>水土保持工程投资费用构成表</w:t>
      </w:r>
    </w:p>
    <w:tbl>
      <w:tblPr>
        <w:tblStyle w:val="105"/>
        <w:tblW w:w="851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5"/>
        <w:gridCol w:w="578"/>
        <w:gridCol w:w="1416"/>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trPr>
        <w:tc>
          <w:tcPr>
            <w:tcW w:w="425" w:type="dxa"/>
            <w:vMerge w:val="restart"/>
            <w:vAlign w:val="center"/>
          </w:tcPr>
          <w:p>
            <w:pPr>
              <w:autoSpaceDE w:val="0"/>
              <w:autoSpaceDN w:val="0"/>
              <w:adjustRightInd w:val="0"/>
              <w:snapToGrid w:val="0"/>
              <w:ind w:left="107" w:right="8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费用构成</w:t>
            </w:r>
          </w:p>
        </w:tc>
        <w:tc>
          <w:tcPr>
            <w:tcW w:w="578" w:type="dxa"/>
            <w:vAlign w:val="center"/>
          </w:tcPr>
          <w:p>
            <w:pPr>
              <w:autoSpaceDE w:val="0"/>
              <w:autoSpaceDN w:val="0"/>
              <w:adjustRightInd w:val="0"/>
              <w:snapToGrid w:val="0"/>
              <w:ind w:right="87"/>
              <w:contextualSpacing/>
              <w:jc w:val="center"/>
              <w:rPr>
                <w:rFonts w:ascii="Times New Roman" w:hAnsi="Times New Roman"/>
                <w:color w:val="auto"/>
                <w:kern w:val="0"/>
                <w:sz w:val="21"/>
                <w:szCs w:val="21"/>
                <w:lang w:eastAsia="en-US"/>
              </w:rPr>
            </w:pPr>
            <w:r>
              <w:rPr>
                <w:rFonts w:ascii="Times New Roman" w:hAnsi="Times New Roman"/>
                <w:color w:val="auto"/>
                <w:w w:val="99"/>
                <w:kern w:val="0"/>
                <w:sz w:val="21"/>
                <w:szCs w:val="21"/>
                <w:lang w:eastAsia="en-US"/>
              </w:rPr>
              <w:t>1</w:t>
            </w:r>
          </w:p>
        </w:tc>
        <w:tc>
          <w:tcPr>
            <w:tcW w:w="1416" w:type="dxa"/>
            <w:vAlign w:val="center"/>
          </w:tcPr>
          <w:p>
            <w:pPr>
              <w:autoSpaceDE w:val="0"/>
              <w:autoSpaceDN w:val="0"/>
              <w:adjustRightInd w:val="0"/>
              <w:snapToGrid w:val="0"/>
              <w:ind w:left="132" w:right="10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工程措施费</w:t>
            </w:r>
          </w:p>
        </w:tc>
        <w:tc>
          <w:tcPr>
            <w:tcW w:w="6096" w:type="dxa"/>
            <w:vAlign w:val="center"/>
          </w:tcPr>
          <w:p>
            <w:pPr>
              <w:autoSpaceDE w:val="0"/>
              <w:autoSpaceDN w:val="0"/>
              <w:adjustRightInd w:val="0"/>
              <w:snapToGrid w:val="0"/>
              <w:ind w:left="179" w:right="142"/>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直接费、间接费、企业利润、税金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425" w:type="dxa"/>
            <w:vMerge w:val="continue"/>
            <w:vAlign w:val="center"/>
          </w:tcPr>
          <w:p>
            <w:pPr>
              <w:autoSpaceDE w:val="0"/>
              <w:autoSpaceDN w:val="0"/>
              <w:adjustRightInd w:val="0"/>
              <w:snapToGrid w:val="0"/>
              <w:contextualSpacing/>
              <w:jc w:val="center"/>
              <w:rPr>
                <w:rFonts w:ascii="Times New Roman" w:hAnsi="Times New Roman"/>
                <w:color w:val="auto"/>
                <w:kern w:val="0"/>
                <w:sz w:val="21"/>
                <w:szCs w:val="21"/>
                <w:lang w:eastAsia="zh-CN"/>
              </w:rPr>
            </w:pPr>
          </w:p>
        </w:tc>
        <w:tc>
          <w:tcPr>
            <w:tcW w:w="578" w:type="dxa"/>
            <w:vAlign w:val="center"/>
          </w:tcPr>
          <w:p>
            <w:pPr>
              <w:autoSpaceDE w:val="0"/>
              <w:autoSpaceDN w:val="0"/>
              <w:adjustRightInd w:val="0"/>
              <w:snapToGrid w:val="0"/>
              <w:ind w:right="87"/>
              <w:contextualSpacing/>
              <w:jc w:val="center"/>
              <w:rPr>
                <w:rFonts w:ascii="Times New Roman" w:hAnsi="Times New Roman"/>
                <w:color w:val="auto"/>
                <w:kern w:val="0"/>
                <w:sz w:val="21"/>
                <w:szCs w:val="21"/>
                <w:lang w:eastAsia="en-US"/>
              </w:rPr>
            </w:pPr>
            <w:r>
              <w:rPr>
                <w:rFonts w:ascii="Times New Roman" w:hAnsi="Times New Roman"/>
                <w:color w:val="auto"/>
                <w:w w:val="99"/>
                <w:kern w:val="0"/>
                <w:sz w:val="21"/>
                <w:szCs w:val="21"/>
                <w:lang w:eastAsia="en-US"/>
              </w:rPr>
              <w:t>2</w:t>
            </w:r>
          </w:p>
        </w:tc>
        <w:tc>
          <w:tcPr>
            <w:tcW w:w="1416" w:type="dxa"/>
            <w:vAlign w:val="center"/>
          </w:tcPr>
          <w:p>
            <w:pPr>
              <w:autoSpaceDE w:val="0"/>
              <w:autoSpaceDN w:val="0"/>
              <w:adjustRightInd w:val="0"/>
              <w:snapToGrid w:val="0"/>
              <w:ind w:left="132" w:right="10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植物措施费</w:t>
            </w:r>
          </w:p>
        </w:tc>
        <w:tc>
          <w:tcPr>
            <w:tcW w:w="6096" w:type="dxa"/>
            <w:vAlign w:val="center"/>
          </w:tcPr>
          <w:p>
            <w:pPr>
              <w:autoSpaceDE w:val="0"/>
              <w:autoSpaceDN w:val="0"/>
              <w:adjustRightInd w:val="0"/>
              <w:snapToGrid w:val="0"/>
              <w:ind w:left="179" w:right="142"/>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直接费、间接费、企业利润、税金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425" w:type="dxa"/>
            <w:vMerge w:val="continue"/>
            <w:vAlign w:val="center"/>
          </w:tcPr>
          <w:p>
            <w:pPr>
              <w:autoSpaceDE w:val="0"/>
              <w:autoSpaceDN w:val="0"/>
              <w:adjustRightInd w:val="0"/>
              <w:snapToGrid w:val="0"/>
              <w:contextualSpacing/>
              <w:jc w:val="center"/>
              <w:rPr>
                <w:rFonts w:ascii="Times New Roman" w:hAnsi="Times New Roman"/>
                <w:color w:val="auto"/>
                <w:kern w:val="0"/>
                <w:sz w:val="21"/>
                <w:szCs w:val="21"/>
                <w:lang w:eastAsia="zh-CN"/>
              </w:rPr>
            </w:pPr>
          </w:p>
        </w:tc>
        <w:tc>
          <w:tcPr>
            <w:tcW w:w="578" w:type="dxa"/>
            <w:vAlign w:val="center"/>
          </w:tcPr>
          <w:p>
            <w:pPr>
              <w:autoSpaceDE w:val="0"/>
              <w:autoSpaceDN w:val="0"/>
              <w:adjustRightInd w:val="0"/>
              <w:snapToGrid w:val="0"/>
              <w:ind w:right="87"/>
              <w:contextualSpacing/>
              <w:jc w:val="center"/>
              <w:rPr>
                <w:rFonts w:ascii="Times New Roman" w:hAnsi="Times New Roman"/>
                <w:color w:val="auto"/>
                <w:kern w:val="0"/>
                <w:sz w:val="21"/>
                <w:szCs w:val="21"/>
                <w:lang w:eastAsia="en-US"/>
              </w:rPr>
            </w:pPr>
            <w:r>
              <w:rPr>
                <w:rFonts w:ascii="Times New Roman" w:hAnsi="Times New Roman"/>
                <w:color w:val="auto"/>
                <w:w w:val="99"/>
                <w:kern w:val="0"/>
                <w:sz w:val="21"/>
                <w:szCs w:val="21"/>
                <w:lang w:eastAsia="en-US"/>
              </w:rPr>
              <w:t>3</w:t>
            </w:r>
          </w:p>
        </w:tc>
        <w:tc>
          <w:tcPr>
            <w:tcW w:w="1416" w:type="dxa"/>
            <w:vAlign w:val="center"/>
          </w:tcPr>
          <w:p>
            <w:pPr>
              <w:autoSpaceDE w:val="0"/>
              <w:autoSpaceDN w:val="0"/>
              <w:adjustRightInd w:val="0"/>
              <w:snapToGrid w:val="0"/>
              <w:ind w:left="132" w:right="10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临时工程费</w:t>
            </w:r>
          </w:p>
        </w:tc>
        <w:tc>
          <w:tcPr>
            <w:tcW w:w="6096" w:type="dxa"/>
            <w:vAlign w:val="center"/>
          </w:tcPr>
          <w:p>
            <w:pPr>
              <w:autoSpaceDE w:val="0"/>
              <w:autoSpaceDN w:val="0"/>
              <w:adjustRightInd w:val="0"/>
              <w:snapToGrid w:val="0"/>
              <w:ind w:left="179" w:right="142"/>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直接费、间接费、企业利润、税金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25" w:type="dxa"/>
            <w:vMerge w:val="continue"/>
            <w:vAlign w:val="center"/>
          </w:tcPr>
          <w:p>
            <w:pPr>
              <w:autoSpaceDE w:val="0"/>
              <w:autoSpaceDN w:val="0"/>
              <w:adjustRightInd w:val="0"/>
              <w:snapToGrid w:val="0"/>
              <w:contextualSpacing/>
              <w:jc w:val="center"/>
              <w:rPr>
                <w:rFonts w:ascii="Times New Roman" w:hAnsi="Times New Roman"/>
                <w:color w:val="auto"/>
                <w:kern w:val="0"/>
                <w:sz w:val="21"/>
                <w:szCs w:val="21"/>
                <w:lang w:eastAsia="zh-CN"/>
              </w:rPr>
            </w:pPr>
          </w:p>
        </w:tc>
        <w:tc>
          <w:tcPr>
            <w:tcW w:w="578" w:type="dxa"/>
            <w:vAlign w:val="center"/>
          </w:tcPr>
          <w:p>
            <w:pPr>
              <w:autoSpaceDE w:val="0"/>
              <w:autoSpaceDN w:val="0"/>
              <w:adjustRightInd w:val="0"/>
              <w:snapToGrid w:val="0"/>
              <w:ind w:right="87"/>
              <w:contextualSpacing/>
              <w:jc w:val="center"/>
              <w:rPr>
                <w:rFonts w:ascii="Times New Roman" w:hAnsi="Times New Roman"/>
                <w:color w:val="auto"/>
                <w:kern w:val="0"/>
                <w:sz w:val="21"/>
                <w:szCs w:val="21"/>
                <w:lang w:eastAsia="en-US"/>
              </w:rPr>
            </w:pPr>
            <w:r>
              <w:rPr>
                <w:rFonts w:ascii="Times New Roman" w:hAnsi="Times New Roman"/>
                <w:color w:val="auto"/>
                <w:w w:val="99"/>
                <w:kern w:val="0"/>
                <w:sz w:val="21"/>
                <w:szCs w:val="21"/>
                <w:lang w:eastAsia="en-US"/>
              </w:rPr>
              <w:t>4</w:t>
            </w:r>
          </w:p>
        </w:tc>
        <w:tc>
          <w:tcPr>
            <w:tcW w:w="1416" w:type="dxa"/>
            <w:vAlign w:val="center"/>
          </w:tcPr>
          <w:p>
            <w:pPr>
              <w:autoSpaceDE w:val="0"/>
              <w:autoSpaceDN w:val="0"/>
              <w:adjustRightInd w:val="0"/>
              <w:snapToGrid w:val="0"/>
              <w:ind w:left="132" w:right="10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独立费用</w:t>
            </w:r>
          </w:p>
        </w:tc>
        <w:tc>
          <w:tcPr>
            <w:tcW w:w="6096" w:type="dxa"/>
            <w:vAlign w:val="center"/>
          </w:tcPr>
          <w:p>
            <w:pPr>
              <w:autoSpaceDE w:val="0"/>
              <w:autoSpaceDN w:val="0"/>
              <w:adjustRightInd w:val="0"/>
              <w:snapToGrid w:val="0"/>
              <w:ind w:left="254" w:right="142"/>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建设管理费、科研勘测设计费、水土保持监理费、水土保持</w:t>
            </w:r>
            <w:r>
              <w:rPr>
                <w:rFonts w:hint="eastAsia" w:ascii="Times New Roman" w:hAnsi="Times New Roman"/>
                <w:color w:val="auto"/>
                <w:kern w:val="0"/>
                <w:sz w:val="21"/>
                <w:szCs w:val="21"/>
                <w:lang w:eastAsia="zh-CN"/>
              </w:rPr>
              <w:t>设施验收</w:t>
            </w:r>
            <w:r>
              <w:rPr>
                <w:rFonts w:ascii="Times New Roman" w:hAnsi="Times New Roman"/>
                <w:color w:val="auto"/>
                <w:kern w:val="0"/>
                <w:sz w:val="21"/>
                <w:szCs w:val="21"/>
                <w:lang w:eastAsia="zh-CN"/>
              </w:rPr>
              <w:t>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425" w:type="dxa"/>
            <w:vMerge w:val="continue"/>
            <w:vAlign w:val="center"/>
          </w:tcPr>
          <w:p>
            <w:pPr>
              <w:autoSpaceDE w:val="0"/>
              <w:autoSpaceDN w:val="0"/>
              <w:adjustRightInd w:val="0"/>
              <w:snapToGrid w:val="0"/>
              <w:contextualSpacing/>
              <w:jc w:val="center"/>
              <w:rPr>
                <w:rFonts w:ascii="Times New Roman" w:hAnsi="Times New Roman"/>
                <w:color w:val="auto"/>
                <w:kern w:val="0"/>
                <w:sz w:val="21"/>
                <w:szCs w:val="21"/>
                <w:lang w:eastAsia="zh-CN"/>
              </w:rPr>
            </w:pPr>
          </w:p>
        </w:tc>
        <w:tc>
          <w:tcPr>
            <w:tcW w:w="578" w:type="dxa"/>
            <w:vAlign w:val="center"/>
          </w:tcPr>
          <w:p>
            <w:pPr>
              <w:autoSpaceDE w:val="0"/>
              <w:autoSpaceDN w:val="0"/>
              <w:adjustRightInd w:val="0"/>
              <w:snapToGrid w:val="0"/>
              <w:ind w:right="87"/>
              <w:contextualSpacing/>
              <w:jc w:val="center"/>
              <w:rPr>
                <w:rFonts w:ascii="Times New Roman" w:hAnsi="Times New Roman"/>
                <w:color w:val="auto"/>
                <w:kern w:val="0"/>
                <w:sz w:val="21"/>
                <w:szCs w:val="21"/>
                <w:lang w:eastAsia="en-US"/>
              </w:rPr>
            </w:pPr>
            <w:r>
              <w:rPr>
                <w:rFonts w:ascii="Times New Roman" w:hAnsi="Times New Roman"/>
                <w:color w:val="auto"/>
                <w:w w:val="99"/>
                <w:kern w:val="0"/>
                <w:sz w:val="21"/>
                <w:szCs w:val="21"/>
                <w:lang w:eastAsia="en-US"/>
              </w:rPr>
              <w:t>5</w:t>
            </w:r>
          </w:p>
        </w:tc>
        <w:tc>
          <w:tcPr>
            <w:tcW w:w="7512" w:type="dxa"/>
            <w:gridSpan w:val="2"/>
            <w:vAlign w:val="center"/>
          </w:tcPr>
          <w:p>
            <w:pPr>
              <w:autoSpaceDE w:val="0"/>
              <w:autoSpaceDN w:val="0"/>
              <w:adjustRightInd w:val="0"/>
              <w:snapToGrid w:val="0"/>
              <w:ind w:right="3106"/>
              <w:contextualSpacing/>
              <w:jc w:val="center"/>
              <w:rPr>
                <w:rFonts w:ascii="Times New Roman" w:hAnsi="Times New Roman"/>
                <w:color w:val="auto"/>
                <w:kern w:val="0"/>
                <w:sz w:val="21"/>
                <w:szCs w:val="21"/>
                <w:lang w:eastAsia="en-US"/>
              </w:rPr>
            </w:pPr>
            <w:r>
              <w:rPr>
                <w:rFonts w:hint="eastAsia" w:ascii="Times New Roman" w:hAnsi="Times New Roman"/>
                <w:color w:val="auto"/>
                <w:kern w:val="0"/>
                <w:sz w:val="21"/>
                <w:szCs w:val="21"/>
                <w:lang w:eastAsia="zh-CN"/>
              </w:rPr>
              <w:t xml:space="preserve"> </w:t>
            </w:r>
            <w:r>
              <w:rPr>
                <w:rFonts w:ascii="Times New Roman" w:hAnsi="Times New Roman"/>
                <w:color w:val="auto"/>
                <w:kern w:val="0"/>
                <w:sz w:val="21"/>
                <w:szCs w:val="21"/>
                <w:lang w:eastAsia="zh-CN"/>
              </w:rPr>
              <w:t xml:space="preserve">                          </w:t>
            </w:r>
            <w:r>
              <w:rPr>
                <w:rFonts w:ascii="Times New Roman" w:hAnsi="Times New Roman"/>
                <w:color w:val="auto"/>
                <w:kern w:val="0"/>
                <w:sz w:val="21"/>
                <w:szCs w:val="21"/>
                <w:lang w:eastAsia="en-US"/>
              </w:rPr>
              <w:t>基本预备费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425" w:type="dxa"/>
            <w:vMerge w:val="continue"/>
            <w:vAlign w:val="center"/>
          </w:tcPr>
          <w:p>
            <w:pPr>
              <w:autoSpaceDE w:val="0"/>
              <w:autoSpaceDN w:val="0"/>
              <w:adjustRightInd w:val="0"/>
              <w:snapToGrid w:val="0"/>
              <w:contextualSpacing/>
              <w:jc w:val="center"/>
              <w:rPr>
                <w:rFonts w:ascii="Times New Roman" w:hAnsi="Times New Roman"/>
                <w:color w:val="auto"/>
                <w:kern w:val="0"/>
                <w:sz w:val="21"/>
                <w:szCs w:val="21"/>
                <w:lang w:eastAsia="en-US"/>
              </w:rPr>
            </w:pPr>
          </w:p>
        </w:tc>
        <w:tc>
          <w:tcPr>
            <w:tcW w:w="578" w:type="dxa"/>
            <w:vAlign w:val="center"/>
          </w:tcPr>
          <w:p>
            <w:pPr>
              <w:autoSpaceDE w:val="0"/>
              <w:autoSpaceDN w:val="0"/>
              <w:adjustRightInd w:val="0"/>
              <w:snapToGrid w:val="0"/>
              <w:ind w:right="87"/>
              <w:contextualSpacing/>
              <w:jc w:val="center"/>
              <w:rPr>
                <w:rFonts w:ascii="Times New Roman" w:hAnsi="Times New Roman"/>
                <w:color w:val="auto"/>
                <w:kern w:val="0"/>
                <w:sz w:val="21"/>
                <w:szCs w:val="21"/>
                <w:lang w:eastAsia="en-US"/>
              </w:rPr>
            </w:pPr>
            <w:r>
              <w:rPr>
                <w:rFonts w:ascii="Times New Roman" w:hAnsi="Times New Roman"/>
                <w:color w:val="auto"/>
                <w:w w:val="99"/>
                <w:kern w:val="0"/>
                <w:sz w:val="21"/>
                <w:szCs w:val="21"/>
                <w:lang w:eastAsia="en-US"/>
              </w:rPr>
              <w:t>6</w:t>
            </w:r>
          </w:p>
        </w:tc>
        <w:tc>
          <w:tcPr>
            <w:tcW w:w="7512" w:type="dxa"/>
            <w:gridSpan w:val="2"/>
            <w:vAlign w:val="center"/>
          </w:tcPr>
          <w:p>
            <w:pPr>
              <w:autoSpaceDE w:val="0"/>
              <w:autoSpaceDN w:val="0"/>
              <w:adjustRightInd w:val="0"/>
              <w:snapToGrid w:val="0"/>
              <w:ind w:right="3106"/>
              <w:contextualSpacing/>
              <w:jc w:val="center"/>
              <w:rPr>
                <w:rFonts w:ascii="Times New Roman" w:hAnsi="Times New Roman"/>
                <w:color w:val="auto"/>
                <w:kern w:val="0"/>
                <w:sz w:val="21"/>
                <w:szCs w:val="21"/>
                <w:lang w:eastAsia="en-US"/>
              </w:rPr>
            </w:pPr>
            <w:r>
              <w:rPr>
                <w:rFonts w:hint="eastAsia" w:ascii="Times New Roman" w:hAnsi="Times New Roman"/>
                <w:color w:val="auto"/>
                <w:kern w:val="0"/>
                <w:sz w:val="21"/>
                <w:szCs w:val="21"/>
                <w:lang w:eastAsia="zh-CN"/>
              </w:rPr>
              <w:t xml:space="preserve"> </w:t>
            </w:r>
            <w:r>
              <w:rPr>
                <w:rFonts w:ascii="Times New Roman" w:hAnsi="Times New Roman"/>
                <w:color w:val="auto"/>
                <w:kern w:val="0"/>
                <w:sz w:val="21"/>
                <w:szCs w:val="21"/>
                <w:lang w:eastAsia="zh-CN"/>
              </w:rPr>
              <w:t xml:space="preserve">                          </w:t>
            </w:r>
            <w:r>
              <w:rPr>
                <w:rFonts w:ascii="Times New Roman" w:hAnsi="Times New Roman"/>
                <w:color w:val="auto"/>
                <w:kern w:val="0"/>
                <w:sz w:val="21"/>
                <w:szCs w:val="21"/>
                <w:lang w:eastAsia="en-US"/>
              </w:rPr>
              <w:t>水土</w:t>
            </w:r>
            <w:r>
              <w:rPr>
                <w:rFonts w:hint="eastAsia" w:ascii="Times New Roman" w:hAnsi="Times New Roman"/>
                <w:color w:val="auto"/>
                <w:kern w:val="0"/>
                <w:sz w:val="21"/>
                <w:szCs w:val="21"/>
                <w:lang w:eastAsia="zh-CN"/>
              </w:rPr>
              <w:t>保持补</w:t>
            </w:r>
            <w:r>
              <w:rPr>
                <w:rFonts w:ascii="Times New Roman" w:hAnsi="Times New Roman"/>
                <w:color w:val="auto"/>
                <w:kern w:val="0"/>
                <w:sz w:val="21"/>
                <w:szCs w:val="21"/>
                <w:lang w:eastAsia="en-US"/>
              </w:rPr>
              <w:t>偿费</w:t>
            </w:r>
          </w:p>
        </w:tc>
      </w:tr>
    </w:tbl>
    <w:p>
      <w:pPr>
        <w:adjustRightInd w:val="0"/>
        <w:snapToGrid w:val="0"/>
        <w:spacing w:before="156" w:beforeLines="50" w:line="360" w:lineRule="auto"/>
        <w:contextualSpacing/>
        <w:outlineLvl w:val="2"/>
        <w:rPr>
          <w:b/>
          <w:bCs/>
          <w:color w:val="auto"/>
          <w:sz w:val="24"/>
        </w:rPr>
      </w:pPr>
      <w:r>
        <w:rPr>
          <w:b/>
          <w:bCs/>
          <w:color w:val="auto"/>
          <w:sz w:val="24"/>
        </w:rPr>
        <w:t>6.1.2.2编制方法</w:t>
      </w:r>
    </w:p>
    <w:p>
      <w:pPr>
        <w:autoSpaceDE w:val="0"/>
        <w:autoSpaceDN w:val="0"/>
        <w:adjustRightInd w:val="0"/>
        <w:snapToGrid w:val="0"/>
        <w:spacing w:line="360" w:lineRule="auto"/>
        <w:ind w:left="237" w:right="235" w:firstLine="482"/>
        <w:contextualSpacing/>
        <w:jc w:val="left"/>
        <w:rPr>
          <w:color w:val="auto"/>
          <w:kern w:val="0"/>
          <w:sz w:val="24"/>
          <w:szCs w:val="22"/>
          <w:lang w:eastAsia="en-US"/>
        </w:rPr>
      </w:pPr>
      <w:r>
        <w:rPr>
          <w:rFonts w:hint="eastAsia"/>
          <w:color w:val="auto"/>
          <w:kern w:val="0"/>
          <w:sz w:val="24"/>
          <w:szCs w:val="22"/>
        </w:rPr>
        <w:t>1、</w:t>
      </w:r>
      <w:r>
        <w:rPr>
          <w:color w:val="auto"/>
          <w:kern w:val="0"/>
          <w:sz w:val="24"/>
          <w:szCs w:val="22"/>
          <w:lang w:eastAsia="en-US"/>
        </w:rPr>
        <w:t>基础单价的编制</w:t>
      </w:r>
    </w:p>
    <w:p>
      <w:pPr>
        <w:numPr>
          <w:ilvl w:val="0"/>
          <w:numId w:val="3"/>
        </w:numPr>
        <w:tabs>
          <w:tab w:val="left" w:pos="1081"/>
        </w:tabs>
        <w:autoSpaceDE w:val="0"/>
        <w:autoSpaceDN w:val="0"/>
        <w:adjustRightInd w:val="0"/>
        <w:snapToGrid w:val="0"/>
        <w:spacing w:line="360" w:lineRule="auto"/>
        <w:contextualSpacing/>
        <w:jc w:val="left"/>
        <w:rPr>
          <w:color w:val="auto"/>
          <w:kern w:val="0"/>
          <w:sz w:val="24"/>
          <w:szCs w:val="22"/>
          <w:lang w:eastAsia="en-US"/>
        </w:rPr>
      </w:pPr>
      <w:r>
        <w:rPr>
          <w:color w:val="auto"/>
          <w:kern w:val="0"/>
          <w:sz w:val="24"/>
          <w:szCs w:val="22"/>
          <w:lang w:eastAsia="en-US"/>
        </w:rPr>
        <w:t>人工预算单价</w:t>
      </w:r>
    </w:p>
    <w:p>
      <w:pPr>
        <w:autoSpaceDE w:val="0"/>
        <w:autoSpaceDN w:val="0"/>
        <w:adjustRightInd w:val="0"/>
        <w:snapToGrid w:val="0"/>
        <w:spacing w:line="360" w:lineRule="auto"/>
        <w:ind w:left="237" w:right="235" w:firstLine="482"/>
        <w:contextualSpacing/>
        <w:jc w:val="left"/>
        <w:rPr>
          <w:color w:val="auto"/>
          <w:kern w:val="0"/>
          <w:sz w:val="24"/>
        </w:rPr>
      </w:pPr>
      <w:r>
        <w:rPr>
          <w:color w:val="auto"/>
          <w:spacing w:val="-10"/>
          <w:kern w:val="0"/>
          <w:sz w:val="24"/>
        </w:rPr>
        <w:t>人工预算单价：</w:t>
      </w:r>
      <w:r>
        <w:rPr>
          <w:color w:val="auto"/>
          <w:kern w:val="0"/>
          <w:sz w:val="24"/>
        </w:rPr>
        <w:t>5.71元/工时。</w:t>
      </w:r>
    </w:p>
    <w:p>
      <w:pPr>
        <w:numPr>
          <w:ilvl w:val="0"/>
          <w:numId w:val="3"/>
        </w:numPr>
        <w:tabs>
          <w:tab w:val="left" w:pos="1081"/>
        </w:tabs>
        <w:autoSpaceDE w:val="0"/>
        <w:autoSpaceDN w:val="0"/>
        <w:adjustRightInd w:val="0"/>
        <w:snapToGrid w:val="0"/>
        <w:spacing w:line="360" w:lineRule="auto"/>
        <w:contextualSpacing/>
        <w:jc w:val="left"/>
        <w:rPr>
          <w:color w:val="auto"/>
          <w:kern w:val="0"/>
          <w:sz w:val="24"/>
          <w:szCs w:val="22"/>
          <w:lang w:eastAsia="en-US"/>
        </w:rPr>
      </w:pPr>
      <w:r>
        <w:rPr>
          <w:color w:val="auto"/>
          <w:kern w:val="0"/>
          <w:sz w:val="24"/>
          <w:szCs w:val="22"/>
          <w:lang w:eastAsia="en-US"/>
        </w:rPr>
        <w:t>主要材料预算价格</w:t>
      </w:r>
    </w:p>
    <w:p>
      <w:pPr>
        <w:autoSpaceDE w:val="0"/>
        <w:autoSpaceDN w:val="0"/>
        <w:adjustRightInd w:val="0"/>
        <w:snapToGrid w:val="0"/>
        <w:spacing w:line="360" w:lineRule="auto"/>
        <w:ind w:left="237" w:right="110" w:firstLine="482"/>
        <w:contextualSpacing/>
        <w:jc w:val="left"/>
        <w:rPr>
          <w:color w:val="auto"/>
          <w:kern w:val="0"/>
          <w:sz w:val="24"/>
        </w:rPr>
      </w:pPr>
      <w:r>
        <w:rPr>
          <w:color w:val="auto"/>
          <w:spacing w:val="-6"/>
          <w:kern w:val="0"/>
          <w:sz w:val="24"/>
        </w:rPr>
        <w:t>主要材料预算价格与主体一致，砂、石最高限价按</w:t>
      </w:r>
      <w:r>
        <w:rPr>
          <w:color w:val="auto"/>
          <w:kern w:val="0"/>
          <w:sz w:val="24"/>
        </w:rPr>
        <w:t>60元/m</w:t>
      </w:r>
      <w:r>
        <w:rPr>
          <w:color w:val="auto"/>
          <w:kern w:val="0"/>
          <w:position w:val="8"/>
          <w:sz w:val="15"/>
        </w:rPr>
        <w:t>3</w:t>
      </w:r>
      <w:r>
        <w:rPr>
          <w:color w:val="auto"/>
          <w:spacing w:val="-6"/>
          <w:kern w:val="0"/>
          <w:sz w:val="24"/>
        </w:rPr>
        <w:t>计取</w:t>
      </w:r>
      <w:r>
        <w:rPr>
          <w:rFonts w:hint="eastAsia"/>
          <w:color w:val="auto"/>
          <w:spacing w:val="-6"/>
          <w:kern w:val="0"/>
          <w:sz w:val="24"/>
        </w:rPr>
        <w:t>；</w:t>
      </w:r>
      <w:r>
        <w:rPr>
          <w:rFonts w:hint="eastAsia"/>
          <w:color w:val="auto"/>
          <w:spacing w:val="-7"/>
          <w:kern w:val="0"/>
          <w:sz w:val="24"/>
        </w:rPr>
        <w:t>防尘</w:t>
      </w:r>
      <w:r>
        <w:rPr>
          <w:color w:val="auto"/>
          <w:spacing w:val="-7"/>
          <w:kern w:val="0"/>
          <w:sz w:val="24"/>
        </w:rPr>
        <w:t>网根据市场调查价格。工程措施及临时防护措施材料采购及保管费费率调</w:t>
      </w:r>
      <w:r>
        <w:rPr>
          <w:color w:val="auto"/>
          <w:spacing w:val="-25"/>
          <w:kern w:val="0"/>
          <w:sz w:val="24"/>
        </w:rPr>
        <w:t>整为</w:t>
      </w:r>
      <w:r>
        <w:rPr>
          <w:color w:val="auto"/>
          <w:kern w:val="0"/>
          <w:sz w:val="24"/>
        </w:rPr>
        <w:t>2.3%。</w:t>
      </w:r>
    </w:p>
    <w:p>
      <w:pPr>
        <w:numPr>
          <w:ilvl w:val="0"/>
          <w:numId w:val="3"/>
        </w:numPr>
        <w:tabs>
          <w:tab w:val="left" w:pos="1081"/>
        </w:tabs>
        <w:autoSpaceDE w:val="0"/>
        <w:autoSpaceDN w:val="0"/>
        <w:adjustRightInd w:val="0"/>
        <w:snapToGrid w:val="0"/>
        <w:spacing w:line="360" w:lineRule="auto"/>
        <w:contextualSpacing/>
        <w:jc w:val="left"/>
        <w:rPr>
          <w:color w:val="auto"/>
          <w:kern w:val="0"/>
          <w:sz w:val="24"/>
          <w:szCs w:val="22"/>
          <w:lang w:eastAsia="en-US"/>
        </w:rPr>
      </w:pPr>
      <w:r>
        <w:rPr>
          <w:color w:val="auto"/>
          <w:kern w:val="0"/>
          <w:sz w:val="24"/>
          <w:szCs w:val="22"/>
          <w:lang w:eastAsia="en-US"/>
        </w:rPr>
        <w:t>施工用水、用电价格</w:t>
      </w:r>
    </w:p>
    <w:p>
      <w:pPr>
        <w:autoSpaceDE w:val="0"/>
        <w:autoSpaceDN w:val="0"/>
        <w:adjustRightInd w:val="0"/>
        <w:snapToGrid w:val="0"/>
        <w:spacing w:line="360" w:lineRule="auto"/>
        <w:ind w:left="237" w:right="223" w:firstLine="482"/>
        <w:contextualSpacing/>
        <w:jc w:val="left"/>
        <w:rPr>
          <w:color w:val="auto"/>
          <w:kern w:val="0"/>
          <w:sz w:val="24"/>
        </w:rPr>
      </w:pPr>
      <w:r>
        <w:rPr>
          <w:color w:val="auto"/>
          <w:spacing w:val="-15"/>
          <w:kern w:val="0"/>
          <w:sz w:val="24"/>
        </w:rPr>
        <w:t>本工程用水、用电、柴油价格等与主体工程一致，施工用水为</w:t>
      </w:r>
      <w:r>
        <w:rPr>
          <w:color w:val="auto"/>
          <w:spacing w:val="-3"/>
          <w:kern w:val="0"/>
          <w:sz w:val="24"/>
        </w:rPr>
        <w:t>3.0</w:t>
      </w:r>
      <w:r>
        <w:rPr>
          <w:color w:val="auto"/>
          <w:spacing w:val="-8"/>
          <w:kern w:val="0"/>
          <w:sz w:val="24"/>
        </w:rPr>
        <w:t>元</w:t>
      </w:r>
      <w:r>
        <w:rPr>
          <w:color w:val="auto"/>
          <w:kern w:val="0"/>
          <w:sz w:val="24"/>
        </w:rPr>
        <w:t xml:space="preserve">/ </w:t>
      </w:r>
      <w:r>
        <w:rPr>
          <w:color w:val="auto"/>
          <w:spacing w:val="-8"/>
          <w:kern w:val="0"/>
          <w:sz w:val="24"/>
        </w:rPr>
        <w:t>m</w:t>
      </w:r>
      <w:r>
        <w:rPr>
          <w:color w:val="auto"/>
          <w:spacing w:val="-8"/>
          <w:kern w:val="0"/>
          <w:position w:val="8"/>
          <w:sz w:val="15"/>
        </w:rPr>
        <w:t>3</w:t>
      </w:r>
      <w:r>
        <w:rPr>
          <w:color w:val="auto"/>
          <w:spacing w:val="-4"/>
          <w:kern w:val="0"/>
          <w:sz w:val="24"/>
        </w:rPr>
        <w:t>，用</w:t>
      </w:r>
      <w:r>
        <w:rPr>
          <w:color w:val="auto"/>
          <w:spacing w:val="-20"/>
          <w:kern w:val="0"/>
          <w:sz w:val="24"/>
        </w:rPr>
        <w:t xml:space="preserve">电价格为 </w:t>
      </w:r>
      <w:r>
        <w:rPr>
          <w:color w:val="auto"/>
          <w:spacing w:val="-3"/>
          <w:kern w:val="0"/>
          <w:sz w:val="24"/>
        </w:rPr>
        <w:t>3.2</w:t>
      </w:r>
      <w:r>
        <w:rPr>
          <w:color w:val="auto"/>
          <w:spacing w:val="-8"/>
          <w:kern w:val="0"/>
          <w:sz w:val="24"/>
        </w:rPr>
        <w:t>元</w:t>
      </w:r>
      <w:r>
        <w:rPr>
          <w:color w:val="auto"/>
          <w:kern w:val="0"/>
          <w:sz w:val="24"/>
        </w:rPr>
        <w:t xml:space="preserve">/ </w:t>
      </w:r>
      <w:r>
        <w:rPr>
          <w:color w:val="auto"/>
          <w:spacing w:val="-5"/>
          <w:kern w:val="0"/>
          <w:sz w:val="24"/>
        </w:rPr>
        <w:t>kw·h</w:t>
      </w:r>
      <w:r>
        <w:rPr>
          <w:color w:val="auto"/>
          <w:kern w:val="0"/>
          <w:sz w:val="24"/>
        </w:rPr>
        <w:t>。</w:t>
      </w:r>
    </w:p>
    <w:p>
      <w:pPr>
        <w:numPr>
          <w:ilvl w:val="0"/>
          <w:numId w:val="3"/>
        </w:numPr>
        <w:tabs>
          <w:tab w:val="left" w:pos="1079"/>
        </w:tabs>
        <w:autoSpaceDE w:val="0"/>
        <w:autoSpaceDN w:val="0"/>
        <w:adjustRightInd w:val="0"/>
        <w:snapToGrid w:val="0"/>
        <w:spacing w:line="360" w:lineRule="auto"/>
        <w:ind w:left="1078"/>
        <w:contextualSpacing/>
        <w:jc w:val="left"/>
        <w:rPr>
          <w:color w:val="auto"/>
          <w:kern w:val="0"/>
          <w:sz w:val="24"/>
          <w:szCs w:val="22"/>
          <w:lang w:eastAsia="en-US"/>
        </w:rPr>
      </w:pPr>
      <w:r>
        <w:rPr>
          <w:color w:val="auto"/>
          <w:kern w:val="0"/>
          <w:sz w:val="24"/>
          <w:szCs w:val="22"/>
          <w:lang w:eastAsia="en-US"/>
        </w:rPr>
        <w:t>施工机械台时费</w:t>
      </w:r>
    </w:p>
    <w:p>
      <w:pPr>
        <w:autoSpaceDE w:val="0"/>
        <w:autoSpaceDN w:val="0"/>
        <w:adjustRightInd w:val="0"/>
        <w:snapToGrid w:val="0"/>
        <w:spacing w:line="360" w:lineRule="auto"/>
        <w:ind w:left="237" w:right="112" w:firstLine="480"/>
        <w:contextualSpacing/>
        <w:jc w:val="left"/>
        <w:rPr>
          <w:color w:val="auto"/>
          <w:kern w:val="0"/>
          <w:sz w:val="24"/>
        </w:rPr>
      </w:pPr>
      <w:r>
        <w:rPr>
          <w:color w:val="auto"/>
          <w:spacing w:val="-9"/>
          <w:kern w:val="0"/>
          <w:sz w:val="24"/>
        </w:rPr>
        <w:t>按照《水土保持施工机械台时费定额》执行。《水利部办公厅关于调整水利</w:t>
      </w:r>
      <w:r>
        <w:rPr>
          <w:color w:val="auto"/>
          <w:spacing w:val="-12"/>
          <w:kern w:val="0"/>
          <w:sz w:val="24"/>
        </w:rPr>
        <w:t>工程计价依据增值税计算标准的通知》</w:t>
      </w:r>
      <w:r>
        <w:rPr>
          <w:color w:val="auto"/>
          <w:spacing w:val="-3"/>
          <w:kern w:val="0"/>
          <w:sz w:val="24"/>
        </w:rPr>
        <w:t>（</w:t>
      </w:r>
      <w:r>
        <w:rPr>
          <w:color w:val="auto"/>
          <w:kern w:val="0"/>
          <w:sz w:val="24"/>
        </w:rPr>
        <w:t>办财务函</w:t>
      </w:r>
      <w:r>
        <w:rPr>
          <w:rFonts w:eastAsia="Times New Roman"/>
          <w:color w:val="auto"/>
          <w:kern w:val="0"/>
          <w:sz w:val="24"/>
        </w:rPr>
        <w:t>[2019]448</w:t>
      </w:r>
      <w:r>
        <w:rPr>
          <w:color w:val="auto"/>
          <w:kern w:val="0"/>
          <w:sz w:val="24"/>
        </w:rPr>
        <w:t>号</w:t>
      </w:r>
      <w:r>
        <w:rPr>
          <w:color w:val="auto"/>
          <w:spacing w:val="-22"/>
          <w:kern w:val="0"/>
          <w:sz w:val="24"/>
        </w:rPr>
        <w:t>）</w:t>
      </w:r>
      <w:r>
        <w:rPr>
          <w:color w:val="auto"/>
          <w:spacing w:val="-2"/>
          <w:kern w:val="0"/>
          <w:sz w:val="24"/>
        </w:rPr>
        <w:t>进行相应调整。</w:t>
      </w:r>
      <w:r>
        <w:rPr>
          <w:color w:val="auto"/>
          <w:spacing w:val="-4"/>
          <w:kern w:val="0"/>
          <w:sz w:val="24"/>
        </w:rPr>
        <w:t>施工机械台时费定额的折旧费除以</w:t>
      </w:r>
      <w:r>
        <w:rPr>
          <w:rFonts w:eastAsia="Times New Roman"/>
          <w:color w:val="auto"/>
          <w:kern w:val="0"/>
          <w:sz w:val="24"/>
        </w:rPr>
        <w:t>1.13</w:t>
      </w:r>
      <w:r>
        <w:rPr>
          <w:color w:val="auto"/>
          <w:spacing w:val="-3"/>
          <w:kern w:val="0"/>
          <w:sz w:val="24"/>
        </w:rPr>
        <w:t>调整系数，修理及替换设备费除以</w:t>
      </w:r>
      <w:r>
        <w:rPr>
          <w:rFonts w:eastAsia="Times New Roman"/>
          <w:color w:val="auto"/>
          <w:kern w:val="0"/>
          <w:sz w:val="24"/>
        </w:rPr>
        <w:t>1.09</w:t>
      </w:r>
      <w:r>
        <w:rPr>
          <w:color w:val="auto"/>
          <w:kern w:val="0"/>
          <w:sz w:val="24"/>
        </w:rPr>
        <w:t>调整系数，安装拆卸费不变。</w:t>
      </w:r>
    </w:p>
    <w:p>
      <w:pPr>
        <w:tabs>
          <w:tab w:val="left" w:pos="1319"/>
        </w:tabs>
        <w:autoSpaceDE w:val="0"/>
        <w:autoSpaceDN w:val="0"/>
        <w:adjustRightInd w:val="0"/>
        <w:snapToGrid w:val="0"/>
        <w:spacing w:line="360" w:lineRule="auto"/>
        <w:ind w:firstLine="720" w:firstLineChars="300"/>
        <w:contextualSpacing/>
        <w:jc w:val="left"/>
        <w:rPr>
          <w:color w:val="auto"/>
          <w:kern w:val="0"/>
          <w:sz w:val="24"/>
          <w:szCs w:val="22"/>
        </w:rPr>
      </w:pPr>
      <w:r>
        <w:rPr>
          <w:rFonts w:hint="eastAsia"/>
          <w:color w:val="auto"/>
          <w:kern w:val="0"/>
          <w:sz w:val="24"/>
          <w:szCs w:val="22"/>
        </w:rPr>
        <w:t>2、</w:t>
      </w:r>
      <w:r>
        <w:rPr>
          <w:color w:val="auto"/>
          <w:kern w:val="0"/>
          <w:sz w:val="24"/>
          <w:szCs w:val="22"/>
        </w:rPr>
        <w:t>工程单价的编制</w:t>
      </w:r>
    </w:p>
    <w:p>
      <w:pPr>
        <w:autoSpaceDE w:val="0"/>
        <w:autoSpaceDN w:val="0"/>
        <w:adjustRightInd w:val="0"/>
        <w:snapToGrid w:val="0"/>
        <w:spacing w:line="360" w:lineRule="auto"/>
        <w:ind w:left="237" w:right="235" w:firstLine="480"/>
        <w:contextualSpacing/>
        <w:rPr>
          <w:color w:val="auto"/>
          <w:kern w:val="0"/>
          <w:sz w:val="24"/>
          <w:lang w:eastAsia="en-US"/>
        </w:rPr>
      </w:pPr>
      <w:r>
        <w:rPr>
          <w:color w:val="auto"/>
          <w:spacing w:val="-6"/>
          <w:kern w:val="0"/>
          <w:sz w:val="24"/>
        </w:rPr>
        <w:t>工程措施及临时措施费由直接工程费、间接费、企业利润和税金组成，直接</w:t>
      </w:r>
      <w:r>
        <w:rPr>
          <w:color w:val="auto"/>
          <w:spacing w:val="-8"/>
          <w:kern w:val="0"/>
          <w:sz w:val="24"/>
        </w:rPr>
        <w:t>工程费包括直接费、其它直接费和现场经费。直接费包括人工费、材料费和施工</w:t>
      </w:r>
      <w:r>
        <w:rPr>
          <w:color w:val="auto"/>
          <w:spacing w:val="-10"/>
          <w:kern w:val="0"/>
          <w:sz w:val="24"/>
        </w:rPr>
        <w:t>机械使用费。水土保持方案的设计深度与主体工程实际设计阶段一致，故单价乘</w:t>
      </w:r>
      <w:r>
        <w:rPr>
          <w:color w:val="auto"/>
          <w:spacing w:val="-31"/>
          <w:kern w:val="0"/>
          <w:sz w:val="24"/>
        </w:rPr>
        <w:t xml:space="preserve">以 </w:t>
      </w:r>
      <w:r>
        <w:rPr>
          <w:rFonts w:eastAsia="Times New Roman"/>
          <w:color w:val="auto"/>
          <w:kern w:val="0"/>
          <w:sz w:val="24"/>
        </w:rPr>
        <w:t>10%</w:t>
      </w:r>
      <w:r>
        <w:rPr>
          <w:color w:val="auto"/>
          <w:spacing w:val="-5"/>
          <w:kern w:val="0"/>
          <w:sz w:val="24"/>
        </w:rPr>
        <w:t>的扩大系数。</w:t>
      </w:r>
      <w:r>
        <w:rPr>
          <w:color w:val="auto"/>
          <w:spacing w:val="-5"/>
          <w:kern w:val="0"/>
          <w:sz w:val="24"/>
          <w:lang w:eastAsia="en-US"/>
        </w:rPr>
        <w:t xml:space="preserve">费率计算见表 </w:t>
      </w:r>
      <w:r>
        <w:rPr>
          <w:rFonts w:eastAsia="Times New Roman"/>
          <w:color w:val="auto"/>
          <w:kern w:val="0"/>
          <w:sz w:val="24"/>
          <w:lang w:eastAsia="en-US"/>
        </w:rPr>
        <w:t>6.1-2</w:t>
      </w:r>
      <w:r>
        <w:rPr>
          <w:color w:val="auto"/>
          <w:kern w:val="0"/>
          <w:sz w:val="24"/>
          <w:lang w:eastAsia="en-US"/>
        </w:rPr>
        <w:t>。</w:t>
      </w:r>
    </w:p>
    <w:p>
      <w:pPr>
        <w:pStyle w:val="90"/>
        <w:adjustRightInd w:val="0"/>
        <w:snapToGrid w:val="0"/>
        <w:ind w:firstLine="390"/>
        <w:contextualSpacing/>
        <w:jc w:val="center"/>
        <w:rPr>
          <w:b/>
          <w:bCs/>
          <w:color w:val="auto"/>
          <w:spacing w:val="-8"/>
          <w:kern w:val="0"/>
          <w:sz w:val="21"/>
          <w:szCs w:val="21"/>
        </w:rPr>
      </w:pPr>
      <w:r>
        <w:rPr>
          <w:b/>
          <w:bCs/>
          <w:color w:val="auto"/>
          <w:spacing w:val="-8"/>
          <w:kern w:val="0"/>
          <w:sz w:val="21"/>
          <w:szCs w:val="21"/>
        </w:rPr>
        <w:t>表 6.1-2</w:t>
      </w:r>
      <w:r>
        <w:rPr>
          <w:b/>
          <w:bCs/>
          <w:color w:val="auto"/>
          <w:spacing w:val="-8"/>
          <w:kern w:val="0"/>
          <w:sz w:val="21"/>
          <w:szCs w:val="21"/>
        </w:rPr>
        <w:tab/>
      </w:r>
      <w:r>
        <w:rPr>
          <w:b/>
          <w:bCs/>
          <w:color w:val="auto"/>
          <w:spacing w:val="-8"/>
          <w:kern w:val="0"/>
          <w:sz w:val="21"/>
          <w:szCs w:val="21"/>
        </w:rPr>
        <w:t xml:space="preserve">   定额费率表</w:t>
      </w:r>
    </w:p>
    <w:tbl>
      <w:tblPr>
        <w:tblStyle w:val="105"/>
        <w:tblW w:w="8658"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7"/>
        <w:gridCol w:w="1767"/>
        <w:gridCol w:w="1492"/>
        <w:gridCol w:w="4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2974" w:type="dxa"/>
            <w:gridSpan w:val="2"/>
            <w:vAlign w:val="center"/>
          </w:tcPr>
          <w:p>
            <w:pPr>
              <w:autoSpaceDE w:val="0"/>
              <w:autoSpaceDN w:val="0"/>
              <w:spacing w:before="35"/>
              <w:ind w:left="1022" w:right="1006"/>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费用名称</w:t>
            </w:r>
          </w:p>
        </w:tc>
        <w:tc>
          <w:tcPr>
            <w:tcW w:w="1492" w:type="dxa"/>
            <w:vAlign w:val="center"/>
          </w:tcPr>
          <w:p>
            <w:pPr>
              <w:autoSpaceDE w:val="0"/>
              <w:autoSpaceDN w:val="0"/>
              <w:spacing w:before="35"/>
              <w:ind w:left="199" w:right="170"/>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费率（％）</w:t>
            </w:r>
          </w:p>
        </w:tc>
        <w:tc>
          <w:tcPr>
            <w:tcW w:w="4192" w:type="dxa"/>
            <w:vAlign w:val="center"/>
          </w:tcPr>
          <w:p>
            <w:pPr>
              <w:autoSpaceDE w:val="0"/>
              <w:autoSpaceDN w:val="0"/>
              <w:spacing w:before="35"/>
              <w:ind w:left="581" w:right="544"/>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计算基础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7" w:type="dxa"/>
            <w:vMerge w:val="restart"/>
            <w:vAlign w:val="center"/>
          </w:tcPr>
          <w:p>
            <w:pPr>
              <w:autoSpaceDE w:val="0"/>
              <w:autoSpaceDN w:val="0"/>
              <w:spacing w:before="167" w:line="278" w:lineRule="auto"/>
              <w:ind w:left="172" w:right="11" w:hanging="65"/>
              <w:contextualSpacing/>
              <w:jc w:val="center"/>
              <w:rPr>
                <w:rFonts w:ascii="Times New Roman" w:hAnsi="Times New Roman"/>
                <w:color w:val="auto"/>
                <w:kern w:val="0"/>
                <w:sz w:val="21"/>
                <w:szCs w:val="22"/>
                <w:lang w:eastAsia="zh-CN"/>
              </w:rPr>
            </w:pPr>
            <w:r>
              <w:rPr>
                <w:rFonts w:ascii="Times New Roman" w:hAnsi="Times New Roman"/>
                <w:color w:val="auto"/>
                <w:kern w:val="0"/>
                <w:sz w:val="21"/>
                <w:szCs w:val="22"/>
                <w:lang w:eastAsia="zh-CN"/>
              </w:rPr>
              <w:t>工程措施、临时措施单价费率</w:t>
            </w:r>
          </w:p>
        </w:tc>
        <w:tc>
          <w:tcPr>
            <w:tcW w:w="1767" w:type="dxa"/>
            <w:vAlign w:val="center"/>
          </w:tcPr>
          <w:p>
            <w:pPr>
              <w:autoSpaceDE w:val="0"/>
              <w:autoSpaceDN w:val="0"/>
              <w:spacing w:before="35"/>
              <w:ind w:left="334" w:right="306"/>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其他直接费</w:t>
            </w:r>
          </w:p>
        </w:tc>
        <w:tc>
          <w:tcPr>
            <w:tcW w:w="1492" w:type="dxa"/>
            <w:vAlign w:val="center"/>
          </w:tcPr>
          <w:p>
            <w:pPr>
              <w:autoSpaceDE w:val="0"/>
              <w:autoSpaceDN w:val="0"/>
              <w:spacing w:before="49"/>
              <w:ind w:left="199" w:right="169"/>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4.00</w:t>
            </w:r>
          </w:p>
        </w:tc>
        <w:tc>
          <w:tcPr>
            <w:tcW w:w="4192" w:type="dxa"/>
            <w:vAlign w:val="center"/>
          </w:tcPr>
          <w:p>
            <w:pPr>
              <w:autoSpaceDE w:val="0"/>
              <w:autoSpaceDN w:val="0"/>
              <w:spacing w:before="35"/>
              <w:ind w:left="581" w:right="547"/>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直接费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7" w:type="dxa"/>
            <w:vMerge w:val="continue"/>
            <w:vAlign w:val="center"/>
          </w:tcPr>
          <w:p>
            <w:pPr>
              <w:autoSpaceDE w:val="0"/>
              <w:autoSpaceDN w:val="0"/>
              <w:contextualSpacing/>
              <w:jc w:val="center"/>
              <w:rPr>
                <w:rFonts w:ascii="Times New Roman" w:hAnsi="Times New Roman"/>
                <w:color w:val="auto"/>
                <w:kern w:val="0"/>
                <w:sz w:val="2"/>
                <w:szCs w:val="2"/>
                <w:lang w:eastAsia="en-US"/>
              </w:rPr>
            </w:pPr>
          </w:p>
        </w:tc>
        <w:tc>
          <w:tcPr>
            <w:tcW w:w="1767" w:type="dxa"/>
            <w:vAlign w:val="center"/>
          </w:tcPr>
          <w:p>
            <w:pPr>
              <w:autoSpaceDE w:val="0"/>
              <w:autoSpaceDN w:val="0"/>
              <w:spacing w:before="35"/>
              <w:ind w:left="334" w:right="306"/>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现场经费</w:t>
            </w:r>
          </w:p>
        </w:tc>
        <w:tc>
          <w:tcPr>
            <w:tcW w:w="1492" w:type="dxa"/>
            <w:vAlign w:val="center"/>
          </w:tcPr>
          <w:p>
            <w:pPr>
              <w:autoSpaceDE w:val="0"/>
              <w:autoSpaceDN w:val="0"/>
              <w:spacing w:before="49"/>
              <w:ind w:left="199" w:right="169"/>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5.00</w:t>
            </w:r>
          </w:p>
        </w:tc>
        <w:tc>
          <w:tcPr>
            <w:tcW w:w="4192" w:type="dxa"/>
            <w:vAlign w:val="center"/>
          </w:tcPr>
          <w:p>
            <w:pPr>
              <w:autoSpaceDE w:val="0"/>
              <w:autoSpaceDN w:val="0"/>
              <w:spacing w:before="35"/>
              <w:ind w:left="581" w:right="547"/>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直接费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7" w:type="dxa"/>
            <w:vMerge w:val="continue"/>
            <w:vAlign w:val="center"/>
          </w:tcPr>
          <w:p>
            <w:pPr>
              <w:autoSpaceDE w:val="0"/>
              <w:autoSpaceDN w:val="0"/>
              <w:contextualSpacing/>
              <w:jc w:val="center"/>
              <w:rPr>
                <w:rFonts w:ascii="Times New Roman" w:hAnsi="Times New Roman"/>
                <w:color w:val="auto"/>
                <w:kern w:val="0"/>
                <w:sz w:val="2"/>
                <w:szCs w:val="2"/>
                <w:lang w:eastAsia="en-US"/>
              </w:rPr>
            </w:pPr>
          </w:p>
        </w:tc>
        <w:tc>
          <w:tcPr>
            <w:tcW w:w="1767" w:type="dxa"/>
            <w:vAlign w:val="center"/>
          </w:tcPr>
          <w:p>
            <w:pPr>
              <w:autoSpaceDE w:val="0"/>
              <w:autoSpaceDN w:val="0"/>
              <w:spacing w:before="36"/>
              <w:ind w:left="331" w:right="306"/>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间接费</w:t>
            </w:r>
          </w:p>
        </w:tc>
        <w:tc>
          <w:tcPr>
            <w:tcW w:w="1492" w:type="dxa"/>
            <w:vAlign w:val="center"/>
          </w:tcPr>
          <w:p>
            <w:pPr>
              <w:autoSpaceDE w:val="0"/>
              <w:autoSpaceDN w:val="0"/>
              <w:spacing w:before="50"/>
              <w:ind w:left="199" w:right="169"/>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5.50</w:t>
            </w:r>
          </w:p>
        </w:tc>
        <w:tc>
          <w:tcPr>
            <w:tcW w:w="4192" w:type="dxa"/>
            <w:vAlign w:val="center"/>
          </w:tcPr>
          <w:p>
            <w:pPr>
              <w:autoSpaceDE w:val="0"/>
              <w:autoSpaceDN w:val="0"/>
              <w:spacing w:before="36"/>
              <w:ind w:left="581" w:right="544"/>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直接工程费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7" w:type="dxa"/>
            <w:vMerge w:val="continue"/>
            <w:vAlign w:val="center"/>
          </w:tcPr>
          <w:p>
            <w:pPr>
              <w:autoSpaceDE w:val="0"/>
              <w:autoSpaceDN w:val="0"/>
              <w:contextualSpacing/>
              <w:jc w:val="center"/>
              <w:rPr>
                <w:rFonts w:ascii="Times New Roman" w:hAnsi="Times New Roman"/>
                <w:color w:val="auto"/>
                <w:kern w:val="0"/>
                <w:sz w:val="2"/>
                <w:szCs w:val="2"/>
                <w:lang w:eastAsia="en-US"/>
              </w:rPr>
            </w:pPr>
          </w:p>
        </w:tc>
        <w:tc>
          <w:tcPr>
            <w:tcW w:w="1767" w:type="dxa"/>
            <w:vAlign w:val="center"/>
          </w:tcPr>
          <w:p>
            <w:pPr>
              <w:autoSpaceDE w:val="0"/>
              <w:autoSpaceDN w:val="0"/>
              <w:spacing w:before="34"/>
              <w:ind w:left="334" w:right="306"/>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企业利润</w:t>
            </w:r>
          </w:p>
        </w:tc>
        <w:tc>
          <w:tcPr>
            <w:tcW w:w="1492" w:type="dxa"/>
            <w:vAlign w:val="center"/>
          </w:tcPr>
          <w:p>
            <w:pPr>
              <w:autoSpaceDE w:val="0"/>
              <w:autoSpaceDN w:val="0"/>
              <w:spacing w:before="48"/>
              <w:ind w:left="199" w:right="169"/>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7.00</w:t>
            </w:r>
          </w:p>
        </w:tc>
        <w:tc>
          <w:tcPr>
            <w:tcW w:w="4192" w:type="dxa"/>
            <w:vAlign w:val="center"/>
          </w:tcPr>
          <w:p>
            <w:pPr>
              <w:autoSpaceDE w:val="0"/>
              <w:autoSpaceDN w:val="0"/>
              <w:spacing w:before="34"/>
              <w:ind w:left="581" w:right="544"/>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直接工程费＋间接费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7" w:type="dxa"/>
            <w:vMerge w:val="continue"/>
            <w:vAlign w:val="center"/>
          </w:tcPr>
          <w:p>
            <w:pPr>
              <w:autoSpaceDE w:val="0"/>
              <w:autoSpaceDN w:val="0"/>
              <w:contextualSpacing/>
              <w:jc w:val="center"/>
              <w:rPr>
                <w:rFonts w:ascii="Times New Roman" w:hAnsi="Times New Roman"/>
                <w:color w:val="auto"/>
                <w:kern w:val="0"/>
                <w:sz w:val="2"/>
                <w:szCs w:val="2"/>
                <w:lang w:eastAsia="en-US"/>
              </w:rPr>
            </w:pPr>
          </w:p>
        </w:tc>
        <w:tc>
          <w:tcPr>
            <w:tcW w:w="1767" w:type="dxa"/>
            <w:vAlign w:val="center"/>
          </w:tcPr>
          <w:p>
            <w:pPr>
              <w:autoSpaceDE w:val="0"/>
              <w:autoSpaceDN w:val="0"/>
              <w:spacing w:before="34"/>
              <w:ind w:left="331" w:right="306"/>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税金</w:t>
            </w:r>
          </w:p>
        </w:tc>
        <w:tc>
          <w:tcPr>
            <w:tcW w:w="1492" w:type="dxa"/>
            <w:vAlign w:val="center"/>
          </w:tcPr>
          <w:p>
            <w:pPr>
              <w:autoSpaceDE w:val="0"/>
              <w:autoSpaceDN w:val="0"/>
              <w:spacing w:before="48"/>
              <w:ind w:left="199" w:right="169"/>
              <w:contextualSpacing/>
              <w:jc w:val="center"/>
              <w:rPr>
                <w:rFonts w:ascii="Times New Roman" w:hAnsi="Times New Roman"/>
                <w:color w:val="auto"/>
                <w:kern w:val="0"/>
                <w:sz w:val="21"/>
                <w:szCs w:val="22"/>
                <w:lang w:eastAsia="en-US"/>
              </w:rPr>
            </w:pPr>
            <w:r>
              <w:rPr>
                <w:rFonts w:ascii="Times New Roman" w:hAnsi="Times New Roman"/>
                <w:color w:val="auto"/>
                <w:kern w:val="0"/>
                <w:sz w:val="21"/>
                <w:szCs w:val="22"/>
                <w:lang w:eastAsia="en-US"/>
              </w:rPr>
              <w:t>9.00</w:t>
            </w:r>
          </w:p>
        </w:tc>
        <w:tc>
          <w:tcPr>
            <w:tcW w:w="4192" w:type="dxa"/>
            <w:vAlign w:val="center"/>
          </w:tcPr>
          <w:p>
            <w:pPr>
              <w:autoSpaceDE w:val="0"/>
              <w:autoSpaceDN w:val="0"/>
              <w:spacing w:before="34"/>
              <w:ind w:left="581" w:right="547"/>
              <w:contextualSpacing/>
              <w:jc w:val="center"/>
              <w:rPr>
                <w:rFonts w:ascii="Times New Roman" w:hAnsi="Times New Roman"/>
                <w:color w:val="auto"/>
                <w:kern w:val="0"/>
                <w:sz w:val="21"/>
                <w:szCs w:val="22"/>
                <w:lang w:eastAsia="zh-CN"/>
              </w:rPr>
            </w:pPr>
            <w:r>
              <w:rPr>
                <w:rFonts w:ascii="Times New Roman" w:hAnsi="Times New Roman"/>
                <w:color w:val="auto"/>
                <w:kern w:val="0"/>
                <w:sz w:val="21"/>
                <w:szCs w:val="22"/>
                <w:lang w:eastAsia="zh-CN"/>
              </w:rPr>
              <w:t>直接工程费＋间接费＋企业利润</w:t>
            </w:r>
          </w:p>
        </w:tc>
      </w:tr>
    </w:tbl>
    <w:p>
      <w:pPr>
        <w:tabs>
          <w:tab w:val="left" w:pos="1319"/>
        </w:tabs>
        <w:autoSpaceDE w:val="0"/>
        <w:autoSpaceDN w:val="0"/>
        <w:adjustRightInd w:val="0"/>
        <w:snapToGrid w:val="0"/>
        <w:spacing w:before="156" w:beforeLines="50" w:line="360" w:lineRule="auto"/>
        <w:ind w:firstLine="720" w:firstLineChars="300"/>
        <w:contextualSpacing/>
        <w:jc w:val="left"/>
        <w:rPr>
          <w:color w:val="auto"/>
          <w:kern w:val="0"/>
          <w:sz w:val="24"/>
          <w:szCs w:val="22"/>
        </w:rPr>
      </w:pPr>
      <w:r>
        <w:rPr>
          <w:color w:val="auto"/>
          <w:kern w:val="0"/>
          <w:sz w:val="24"/>
          <w:szCs w:val="22"/>
        </w:rPr>
        <w:t>3</w:t>
      </w:r>
      <w:r>
        <w:rPr>
          <w:rFonts w:hint="eastAsia"/>
          <w:color w:val="auto"/>
          <w:kern w:val="0"/>
          <w:sz w:val="24"/>
          <w:szCs w:val="22"/>
        </w:rPr>
        <w:t>、</w:t>
      </w:r>
      <w:r>
        <w:rPr>
          <w:color w:val="auto"/>
          <w:kern w:val="0"/>
          <w:sz w:val="24"/>
          <w:szCs w:val="22"/>
        </w:rPr>
        <w:t>水土保持工程估算编制</w:t>
      </w:r>
    </w:p>
    <w:p>
      <w:pPr>
        <w:numPr>
          <w:ilvl w:val="0"/>
          <w:numId w:val="4"/>
        </w:numPr>
        <w:tabs>
          <w:tab w:val="left" w:pos="1079"/>
        </w:tabs>
        <w:autoSpaceDE w:val="0"/>
        <w:autoSpaceDN w:val="0"/>
        <w:adjustRightInd w:val="0"/>
        <w:snapToGrid w:val="0"/>
        <w:spacing w:line="360" w:lineRule="auto"/>
        <w:contextualSpacing/>
        <w:jc w:val="left"/>
        <w:rPr>
          <w:color w:val="auto"/>
          <w:kern w:val="0"/>
          <w:sz w:val="24"/>
          <w:szCs w:val="22"/>
          <w:lang w:eastAsia="en-US"/>
        </w:rPr>
      </w:pPr>
      <w:r>
        <w:rPr>
          <w:color w:val="auto"/>
          <w:kern w:val="0"/>
          <w:sz w:val="24"/>
          <w:szCs w:val="22"/>
          <w:lang w:eastAsia="en-US"/>
        </w:rPr>
        <w:t>工程措施</w:t>
      </w:r>
    </w:p>
    <w:p>
      <w:pPr>
        <w:autoSpaceDE w:val="0"/>
        <w:autoSpaceDN w:val="0"/>
        <w:adjustRightInd w:val="0"/>
        <w:snapToGrid w:val="0"/>
        <w:spacing w:line="360" w:lineRule="auto"/>
        <w:ind w:left="717"/>
        <w:contextualSpacing/>
        <w:jc w:val="left"/>
        <w:rPr>
          <w:color w:val="auto"/>
          <w:kern w:val="0"/>
          <w:sz w:val="24"/>
        </w:rPr>
      </w:pPr>
      <w:r>
        <w:rPr>
          <w:color w:val="auto"/>
          <w:kern w:val="0"/>
          <w:sz w:val="24"/>
        </w:rPr>
        <w:t>工程措施估算按设计工程量乘以工程单价进行编制。</w:t>
      </w:r>
    </w:p>
    <w:p>
      <w:pPr>
        <w:numPr>
          <w:ilvl w:val="0"/>
          <w:numId w:val="4"/>
        </w:numPr>
        <w:tabs>
          <w:tab w:val="left" w:pos="1079"/>
        </w:tabs>
        <w:autoSpaceDE w:val="0"/>
        <w:autoSpaceDN w:val="0"/>
        <w:adjustRightInd w:val="0"/>
        <w:snapToGrid w:val="0"/>
        <w:spacing w:line="360" w:lineRule="auto"/>
        <w:contextualSpacing/>
        <w:jc w:val="left"/>
        <w:rPr>
          <w:color w:val="auto"/>
          <w:kern w:val="0"/>
          <w:sz w:val="24"/>
          <w:szCs w:val="22"/>
          <w:lang w:eastAsia="en-US"/>
        </w:rPr>
      </w:pPr>
      <w:r>
        <w:rPr>
          <w:color w:val="auto"/>
          <w:kern w:val="0"/>
          <w:sz w:val="24"/>
          <w:szCs w:val="22"/>
          <w:lang w:eastAsia="en-US"/>
        </w:rPr>
        <w:t>临时措施</w:t>
      </w:r>
    </w:p>
    <w:p>
      <w:pPr>
        <w:autoSpaceDE w:val="0"/>
        <w:autoSpaceDN w:val="0"/>
        <w:adjustRightInd w:val="0"/>
        <w:snapToGrid w:val="0"/>
        <w:spacing w:line="360" w:lineRule="auto"/>
        <w:ind w:left="237" w:right="235" w:firstLine="480"/>
        <w:contextualSpacing/>
        <w:jc w:val="left"/>
        <w:rPr>
          <w:color w:val="auto"/>
          <w:kern w:val="0"/>
          <w:sz w:val="24"/>
        </w:rPr>
      </w:pPr>
      <w:r>
        <w:rPr>
          <w:color w:val="auto"/>
          <w:spacing w:val="-6"/>
          <w:kern w:val="0"/>
          <w:sz w:val="24"/>
        </w:rPr>
        <w:t>临时防护工程按设计工程量乘以单价编制，其它临时工程按第一部分工程措</w:t>
      </w:r>
      <w:r>
        <w:rPr>
          <w:color w:val="auto"/>
          <w:spacing w:val="-4"/>
          <w:kern w:val="0"/>
          <w:sz w:val="24"/>
        </w:rPr>
        <w:t>施投资和第二部分植物措施投资之和的</w:t>
      </w:r>
      <w:r>
        <w:rPr>
          <w:rFonts w:eastAsia="Times New Roman"/>
          <w:color w:val="auto"/>
          <w:kern w:val="0"/>
          <w:sz w:val="24"/>
        </w:rPr>
        <w:t>2.0%</w:t>
      </w:r>
      <w:r>
        <w:rPr>
          <w:color w:val="auto"/>
          <w:kern w:val="0"/>
          <w:sz w:val="24"/>
        </w:rPr>
        <w:t>计取。</w:t>
      </w:r>
    </w:p>
    <w:p>
      <w:pPr>
        <w:numPr>
          <w:ilvl w:val="0"/>
          <w:numId w:val="4"/>
        </w:numPr>
        <w:tabs>
          <w:tab w:val="left" w:pos="1079"/>
        </w:tabs>
        <w:autoSpaceDE w:val="0"/>
        <w:autoSpaceDN w:val="0"/>
        <w:adjustRightInd w:val="0"/>
        <w:snapToGrid w:val="0"/>
        <w:spacing w:line="360" w:lineRule="auto"/>
        <w:contextualSpacing/>
        <w:jc w:val="left"/>
        <w:rPr>
          <w:color w:val="auto"/>
          <w:kern w:val="0"/>
          <w:sz w:val="24"/>
          <w:szCs w:val="22"/>
          <w:lang w:eastAsia="en-US"/>
        </w:rPr>
      </w:pPr>
      <w:r>
        <w:rPr>
          <w:color w:val="auto"/>
          <w:kern w:val="0"/>
          <w:sz w:val="24"/>
          <w:szCs w:val="22"/>
          <w:lang w:eastAsia="en-US"/>
        </w:rPr>
        <w:t>独立费用</w:t>
      </w:r>
    </w:p>
    <w:p>
      <w:pPr>
        <w:autoSpaceDE w:val="0"/>
        <w:autoSpaceDN w:val="0"/>
        <w:adjustRightInd w:val="0"/>
        <w:snapToGrid w:val="0"/>
        <w:spacing w:line="360" w:lineRule="auto"/>
        <w:ind w:left="717"/>
        <w:contextualSpacing/>
        <w:jc w:val="left"/>
        <w:rPr>
          <w:color w:val="auto"/>
          <w:kern w:val="0"/>
          <w:sz w:val="24"/>
        </w:rPr>
      </w:pPr>
      <w:r>
        <w:rPr>
          <w:rFonts w:hint="eastAsia" w:ascii="宋体" w:hAnsi="宋体" w:eastAsia="宋体" w:cs="宋体"/>
          <w:color w:val="auto"/>
          <w:kern w:val="0"/>
          <w:sz w:val="24"/>
        </w:rPr>
        <w:t>①</w:t>
      </w:r>
      <w:r>
        <w:rPr>
          <w:color w:val="auto"/>
          <w:kern w:val="0"/>
          <w:sz w:val="24"/>
        </w:rPr>
        <w:t>建设管理费：管理费按方案新增投资第一至第三部分之和的</w:t>
      </w:r>
      <w:r>
        <w:rPr>
          <w:rFonts w:eastAsia="Times New Roman"/>
          <w:color w:val="auto"/>
          <w:kern w:val="0"/>
          <w:sz w:val="24"/>
        </w:rPr>
        <w:t>2%</w:t>
      </w:r>
      <w:r>
        <w:rPr>
          <w:color w:val="auto"/>
          <w:kern w:val="0"/>
          <w:sz w:val="24"/>
        </w:rPr>
        <w:t>计列。</w:t>
      </w:r>
    </w:p>
    <w:p>
      <w:pPr>
        <w:autoSpaceDE w:val="0"/>
        <w:autoSpaceDN w:val="0"/>
        <w:adjustRightInd w:val="0"/>
        <w:snapToGrid w:val="0"/>
        <w:spacing w:line="360" w:lineRule="auto"/>
        <w:ind w:left="717"/>
        <w:contextualSpacing/>
        <w:jc w:val="left"/>
        <w:rPr>
          <w:color w:val="auto"/>
          <w:kern w:val="0"/>
          <w:sz w:val="24"/>
        </w:rPr>
      </w:pPr>
      <w:r>
        <w:rPr>
          <w:rFonts w:hint="eastAsia" w:ascii="宋体" w:hAnsi="宋体" w:eastAsia="宋体" w:cs="宋体"/>
          <w:color w:val="auto"/>
          <w:kern w:val="0"/>
          <w:sz w:val="24"/>
        </w:rPr>
        <w:t>②</w:t>
      </w:r>
      <w:r>
        <w:rPr>
          <w:color w:val="auto"/>
          <w:kern w:val="0"/>
          <w:sz w:val="24"/>
        </w:rPr>
        <w:t>科研勘测设计费：根据同类项目市场价格进行计列。</w:t>
      </w:r>
    </w:p>
    <w:p>
      <w:pPr>
        <w:autoSpaceDE w:val="0"/>
        <w:autoSpaceDN w:val="0"/>
        <w:adjustRightInd w:val="0"/>
        <w:snapToGrid w:val="0"/>
        <w:spacing w:line="360" w:lineRule="auto"/>
        <w:ind w:left="717"/>
        <w:contextualSpacing/>
        <w:jc w:val="left"/>
        <w:rPr>
          <w:color w:val="auto"/>
          <w:kern w:val="0"/>
          <w:sz w:val="24"/>
        </w:rPr>
      </w:pPr>
      <w:r>
        <w:rPr>
          <w:rFonts w:hint="eastAsia" w:ascii="宋体" w:hAnsi="宋体" w:eastAsia="宋体" w:cs="宋体"/>
          <w:color w:val="auto"/>
          <w:kern w:val="0"/>
          <w:sz w:val="24"/>
        </w:rPr>
        <w:t>③</w:t>
      </w:r>
      <w:r>
        <w:rPr>
          <w:color w:val="auto"/>
          <w:kern w:val="0"/>
          <w:sz w:val="24"/>
        </w:rPr>
        <w:t>水土保持监理费：</w:t>
      </w:r>
      <w:r>
        <w:rPr>
          <w:rFonts w:hint="eastAsia"/>
          <w:color w:val="auto"/>
          <w:kern w:val="0"/>
          <w:sz w:val="24"/>
        </w:rPr>
        <w:t>由主体工程代为监理</w:t>
      </w:r>
      <w:r>
        <w:rPr>
          <w:color w:val="auto"/>
          <w:kern w:val="0"/>
          <w:sz w:val="24"/>
        </w:rPr>
        <w:t>。</w:t>
      </w:r>
    </w:p>
    <w:p>
      <w:pPr>
        <w:autoSpaceDE w:val="0"/>
        <w:autoSpaceDN w:val="0"/>
        <w:adjustRightInd w:val="0"/>
        <w:snapToGrid w:val="0"/>
        <w:spacing w:line="360" w:lineRule="auto"/>
        <w:ind w:left="717"/>
        <w:contextualSpacing/>
        <w:jc w:val="left"/>
        <w:rPr>
          <w:color w:val="auto"/>
          <w:kern w:val="0"/>
          <w:sz w:val="24"/>
        </w:rPr>
      </w:pPr>
      <w:r>
        <w:rPr>
          <w:rFonts w:hint="eastAsia" w:ascii="宋体" w:hAnsi="宋体" w:eastAsia="宋体" w:cs="宋体"/>
          <w:color w:val="auto"/>
          <w:kern w:val="0"/>
          <w:sz w:val="24"/>
        </w:rPr>
        <w:t>④</w:t>
      </w:r>
      <w:r>
        <w:rPr>
          <w:color w:val="auto"/>
          <w:kern w:val="0"/>
          <w:sz w:val="24"/>
        </w:rPr>
        <w:t>水土保持监测费：根据同类项目市场价格进行计列。</w:t>
      </w:r>
    </w:p>
    <w:p>
      <w:pPr>
        <w:autoSpaceDE w:val="0"/>
        <w:autoSpaceDN w:val="0"/>
        <w:adjustRightInd w:val="0"/>
        <w:snapToGrid w:val="0"/>
        <w:spacing w:line="360" w:lineRule="auto"/>
        <w:ind w:left="717"/>
        <w:contextualSpacing/>
        <w:jc w:val="left"/>
        <w:rPr>
          <w:color w:val="auto"/>
          <w:sz w:val="24"/>
        </w:rPr>
      </w:pPr>
      <w:r>
        <w:rPr>
          <w:color w:val="auto"/>
          <w:sz w:val="24"/>
        </w:rPr>
        <w:t>4</w:t>
      </w:r>
      <w:r>
        <w:rPr>
          <w:rFonts w:hint="eastAsia"/>
          <w:color w:val="auto"/>
          <w:sz w:val="24"/>
        </w:rPr>
        <w:t>、</w:t>
      </w:r>
      <w:r>
        <w:rPr>
          <w:color w:val="auto"/>
          <w:sz w:val="24"/>
        </w:rPr>
        <w:t>预备费</w:t>
      </w:r>
    </w:p>
    <w:p>
      <w:pPr>
        <w:autoSpaceDE w:val="0"/>
        <w:autoSpaceDN w:val="0"/>
        <w:adjustRightInd w:val="0"/>
        <w:snapToGrid w:val="0"/>
        <w:spacing w:line="360" w:lineRule="auto"/>
        <w:ind w:left="237" w:right="235" w:firstLine="480"/>
        <w:contextualSpacing/>
        <w:jc w:val="left"/>
        <w:rPr>
          <w:color w:val="auto"/>
          <w:sz w:val="24"/>
        </w:rPr>
      </w:pPr>
      <w:r>
        <w:rPr>
          <w:color w:val="auto"/>
          <w:sz w:val="24"/>
        </w:rPr>
        <w:t>预备费包括基本预备费、价差预备费。基本预备费按一至四部分新增投资之和的6.00%计算。价差预备费根据国家发展计划委员会计投资（1999）1340号文《国家计委关于加强对基本建设大中型项目估算中“价差预备费”管理有关问题的通知》规定，价差预备费不计。</w:t>
      </w:r>
    </w:p>
    <w:p>
      <w:pPr>
        <w:spacing w:line="360" w:lineRule="auto"/>
        <w:ind w:firstLine="480" w:firstLineChars="200"/>
        <w:contextualSpacing/>
        <w:rPr>
          <w:color w:val="auto"/>
          <w:sz w:val="24"/>
        </w:rPr>
      </w:pPr>
      <w:r>
        <w:rPr>
          <w:color w:val="auto"/>
          <w:sz w:val="24"/>
        </w:rPr>
        <w:t>5、水土保持补偿费</w:t>
      </w:r>
      <w:bookmarkEnd w:id="202"/>
    </w:p>
    <w:p>
      <w:pPr>
        <w:spacing w:line="360" w:lineRule="auto"/>
        <w:ind w:firstLine="480"/>
        <w:contextualSpacing/>
        <w:textAlignment w:val="baseline"/>
        <w:rPr>
          <w:color w:val="auto"/>
          <w:sz w:val="24"/>
        </w:rPr>
      </w:pPr>
      <w:bookmarkStart w:id="203" w:name="_Toc522647743"/>
      <w:r>
        <w:rPr>
          <w:color w:val="auto"/>
          <w:sz w:val="24"/>
        </w:rPr>
        <w:t>水土保持补偿费计算方法按《黑龙江省物价监督管理局和黑龙江省财政厅印发关于转发〈国家发展改革委财政部关于降低电信网码号资源占用费等部分行政事业性收费标准的通知〉的通知》（黑价联[2017]23号）计算，对一般性生产建设项目，按照征占用土地面积一次性计征，按照1.2元/m</w:t>
      </w:r>
      <w:r>
        <w:rPr>
          <w:color w:val="auto"/>
          <w:sz w:val="24"/>
          <w:vertAlign w:val="superscript"/>
        </w:rPr>
        <w:t>2</w:t>
      </w:r>
      <w:r>
        <w:rPr>
          <w:color w:val="auto"/>
          <w:sz w:val="24"/>
        </w:rPr>
        <w:t>（不足1m</w:t>
      </w:r>
      <w:r>
        <w:rPr>
          <w:color w:val="auto"/>
          <w:sz w:val="24"/>
          <w:vertAlign w:val="superscript"/>
        </w:rPr>
        <w:t>2</w:t>
      </w:r>
      <w:r>
        <w:rPr>
          <w:color w:val="auto"/>
          <w:sz w:val="24"/>
        </w:rPr>
        <w:t>的按1m</w:t>
      </w:r>
      <w:r>
        <w:rPr>
          <w:color w:val="auto"/>
          <w:sz w:val="24"/>
          <w:vertAlign w:val="superscript"/>
        </w:rPr>
        <w:t>2</w:t>
      </w:r>
      <w:r>
        <w:rPr>
          <w:color w:val="auto"/>
          <w:sz w:val="24"/>
        </w:rPr>
        <w:t>计）。本项目占地面积为</w:t>
      </w:r>
      <w:r>
        <w:rPr>
          <w:bCs/>
          <w:color w:val="auto"/>
          <w:sz w:val="24"/>
        </w:rPr>
        <w:t>41934.00</w:t>
      </w:r>
      <w:r>
        <w:rPr>
          <w:color w:val="auto"/>
          <w:sz w:val="24"/>
        </w:rPr>
        <w:t>m</w:t>
      </w:r>
      <w:r>
        <w:rPr>
          <w:color w:val="auto"/>
          <w:sz w:val="24"/>
          <w:vertAlign w:val="superscript"/>
        </w:rPr>
        <w:t>2</w:t>
      </w:r>
      <w:r>
        <w:rPr>
          <w:color w:val="auto"/>
          <w:sz w:val="24"/>
        </w:rPr>
        <w:t>，因此水土保持补偿费为50320.80元。</w:t>
      </w:r>
    </w:p>
    <w:p>
      <w:pPr>
        <w:adjustRightInd w:val="0"/>
        <w:snapToGrid w:val="0"/>
        <w:spacing w:before="156" w:beforeLines="50" w:line="360" w:lineRule="auto"/>
        <w:contextualSpacing/>
        <w:outlineLvl w:val="2"/>
        <w:rPr>
          <w:b/>
          <w:bCs/>
          <w:color w:val="auto"/>
          <w:sz w:val="24"/>
        </w:rPr>
      </w:pPr>
      <w:r>
        <w:rPr>
          <w:b/>
          <w:bCs/>
          <w:color w:val="auto"/>
          <w:sz w:val="24"/>
        </w:rPr>
        <w:t xml:space="preserve">6.1.2.3 </w:t>
      </w:r>
      <w:bookmarkEnd w:id="203"/>
      <w:r>
        <w:rPr>
          <w:b/>
          <w:bCs/>
          <w:color w:val="auto"/>
          <w:sz w:val="24"/>
        </w:rPr>
        <w:t>估算成果</w:t>
      </w:r>
    </w:p>
    <w:p>
      <w:pPr>
        <w:adjustRightInd w:val="0"/>
        <w:snapToGrid w:val="0"/>
        <w:spacing w:line="360" w:lineRule="auto"/>
        <w:ind w:firstLine="480" w:firstLineChars="200"/>
        <w:contextualSpacing/>
        <w:rPr>
          <w:bCs/>
          <w:color w:val="auto"/>
          <w:sz w:val="24"/>
        </w:rPr>
      </w:pPr>
      <w:r>
        <w:rPr>
          <w:color w:val="auto"/>
          <w:kern w:val="0"/>
          <w:sz w:val="24"/>
          <w:szCs w:val="22"/>
        </w:rPr>
        <w:t>本项目水土保持总投资106.52万元，其中工程措施投资61.59万元，</w:t>
      </w:r>
      <w:r>
        <w:rPr>
          <w:rFonts w:hint="eastAsia"/>
          <w:color w:val="auto"/>
          <w:kern w:val="0"/>
          <w:sz w:val="24"/>
          <w:szCs w:val="22"/>
        </w:rPr>
        <w:t>植物措施投资1</w:t>
      </w:r>
      <w:r>
        <w:rPr>
          <w:color w:val="auto"/>
          <w:kern w:val="0"/>
          <w:sz w:val="24"/>
          <w:szCs w:val="22"/>
        </w:rPr>
        <w:t>1.01</w:t>
      </w:r>
      <w:r>
        <w:rPr>
          <w:rFonts w:hint="eastAsia"/>
          <w:color w:val="auto"/>
          <w:kern w:val="0"/>
          <w:sz w:val="24"/>
          <w:szCs w:val="22"/>
        </w:rPr>
        <w:t>万元，</w:t>
      </w:r>
      <w:r>
        <w:rPr>
          <w:bCs/>
          <w:color w:val="auto"/>
          <w:sz w:val="24"/>
        </w:rPr>
        <w:t>临时措施投资20.41万元，独立费用8.00万元（科研勘测设计费5.00万元，水土保持设施验收费3.00万元），基本预备费0.48万元，水土保持补偿费</w:t>
      </w:r>
      <w:r>
        <w:rPr>
          <w:color w:val="auto"/>
          <w:sz w:val="24"/>
        </w:rPr>
        <w:t>50320.80元</w:t>
      </w:r>
      <w:r>
        <w:rPr>
          <w:bCs/>
          <w:color w:val="auto"/>
          <w:sz w:val="24"/>
        </w:rPr>
        <w:t>。水土保持总投资中主体已列</w:t>
      </w:r>
      <w:r>
        <w:rPr>
          <w:rFonts w:hint="eastAsia"/>
          <w:bCs/>
          <w:color w:val="auto"/>
          <w:sz w:val="24"/>
        </w:rPr>
        <w:t>投</w:t>
      </w:r>
      <w:r>
        <w:rPr>
          <w:bCs/>
          <w:color w:val="auto"/>
          <w:sz w:val="24"/>
        </w:rPr>
        <w:t>资93.02万元，方案新增投资13.50万元。</w:t>
      </w:r>
    </w:p>
    <w:p>
      <w:pPr>
        <w:tabs>
          <w:tab w:val="left" w:pos="567"/>
        </w:tabs>
        <w:adjustRightInd w:val="0"/>
        <w:snapToGrid w:val="0"/>
        <w:spacing w:line="360" w:lineRule="auto"/>
        <w:ind w:firstLine="480" w:firstLineChars="200"/>
        <w:contextualSpacing/>
        <w:rPr>
          <w:color w:val="auto"/>
          <w:sz w:val="24"/>
        </w:rPr>
      </w:pPr>
      <w:r>
        <w:rPr>
          <w:bCs/>
          <w:color w:val="auto"/>
          <w:sz w:val="24"/>
        </w:rPr>
        <w:t>水土保持投资估算见表</w:t>
      </w:r>
      <w:r>
        <w:rPr>
          <w:color w:val="auto"/>
          <w:sz w:val="24"/>
        </w:rPr>
        <w:t>6.1-3~6.1-7。</w:t>
      </w:r>
    </w:p>
    <w:p>
      <w:pPr>
        <w:pStyle w:val="11"/>
        <w:adjustRightInd w:val="0"/>
        <w:snapToGrid w:val="0"/>
        <w:spacing w:after="0" w:line="300" w:lineRule="auto"/>
        <w:contextualSpacing/>
        <w:jc w:val="center"/>
        <w:rPr>
          <w:b/>
          <w:color w:val="auto"/>
          <w:sz w:val="21"/>
          <w:szCs w:val="21"/>
        </w:rPr>
      </w:pPr>
      <w:r>
        <w:rPr>
          <w:b/>
          <w:color w:val="auto"/>
          <w:sz w:val="21"/>
          <w:szCs w:val="21"/>
        </w:rPr>
        <w:t>表6.1-3 项目区水土保持工程投资总估算表    单位：万元</w:t>
      </w:r>
    </w:p>
    <w:tbl>
      <w:tblPr>
        <w:tblStyle w:val="25"/>
        <w:tblW w:w="46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051"/>
        <w:gridCol w:w="991"/>
        <w:gridCol w:w="851"/>
        <w:gridCol w:w="927"/>
        <w:gridCol w:w="1186"/>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color w:val="auto"/>
                <w:kern w:val="0"/>
                <w:sz w:val="21"/>
                <w:szCs w:val="21"/>
              </w:rPr>
            </w:pPr>
            <w:r>
              <w:rPr>
                <w:color w:val="auto"/>
                <w:kern w:val="0"/>
                <w:sz w:val="21"/>
                <w:szCs w:val="21"/>
              </w:rPr>
              <w:t>序号</w:t>
            </w:r>
          </w:p>
        </w:tc>
        <w:tc>
          <w:tcPr>
            <w:tcW w:w="1276" w:type="pct"/>
            <w:shd w:val="clear" w:color="auto" w:fill="auto"/>
            <w:vAlign w:val="center"/>
          </w:tcPr>
          <w:p>
            <w:pPr>
              <w:widowControl/>
              <w:contextualSpacing/>
              <w:jc w:val="center"/>
              <w:rPr>
                <w:color w:val="auto"/>
                <w:kern w:val="0"/>
                <w:sz w:val="21"/>
                <w:szCs w:val="21"/>
              </w:rPr>
            </w:pPr>
            <w:r>
              <w:rPr>
                <w:color w:val="auto"/>
                <w:kern w:val="0"/>
                <w:sz w:val="21"/>
                <w:szCs w:val="21"/>
              </w:rPr>
              <w:t>工程或费用名称</w:t>
            </w:r>
          </w:p>
        </w:tc>
        <w:tc>
          <w:tcPr>
            <w:tcW w:w="626" w:type="pct"/>
            <w:tcBorders>
              <w:bottom w:val="single" w:color="auto" w:sz="4" w:space="0"/>
            </w:tcBorders>
            <w:shd w:val="clear" w:color="auto" w:fill="auto"/>
            <w:vAlign w:val="center"/>
          </w:tcPr>
          <w:p>
            <w:pPr>
              <w:widowControl/>
              <w:contextualSpacing/>
              <w:jc w:val="center"/>
              <w:rPr>
                <w:color w:val="auto"/>
                <w:kern w:val="0"/>
                <w:sz w:val="21"/>
                <w:szCs w:val="21"/>
              </w:rPr>
            </w:pPr>
            <w:r>
              <w:rPr>
                <w:color w:val="auto"/>
                <w:kern w:val="0"/>
                <w:sz w:val="21"/>
                <w:szCs w:val="21"/>
              </w:rPr>
              <w:t>建安工程费</w:t>
            </w:r>
          </w:p>
        </w:tc>
        <w:tc>
          <w:tcPr>
            <w:tcW w:w="537" w:type="pct"/>
            <w:shd w:val="clear" w:color="auto" w:fill="auto"/>
            <w:vAlign w:val="center"/>
          </w:tcPr>
          <w:p>
            <w:pPr>
              <w:widowControl/>
              <w:contextualSpacing/>
              <w:jc w:val="center"/>
              <w:rPr>
                <w:color w:val="auto"/>
                <w:kern w:val="0"/>
                <w:sz w:val="21"/>
                <w:szCs w:val="21"/>
              </w:rPr>
            </w:pPr>
            <w:r>
              <w:rPr>
                <w:color w:val="auto"/>
                <w:kern w:val="0"/>
                <w:sz w:val="21"/>
                <w:szCs w:val="21"/>
              </w:rPr>
              <w:t>林草工程费</w:t>
            </w:r>
          </w:p>
        </w:tc>
        <w:tc>
          <w:tcPr>
            <w:tcW w:w="585" w:type="pct"/>
            <w:vAlign w:val="center"/>
          </w:tcPr>
          <w:p>
            <w:pPr>
              <w:widowControl/>
              <w:contextualSpacing/>
              <w:jc w:val="center"/>
              <w:rPr>
                <w:color w:val="auto"/>
                <w:kern w:val="0"/>
                <w:sz w:val="21"/>
                <w:szCs w:val="21"/>
              </w:rPr>
            </w:pPr>
            <w:r>
              <w:rPr>
                <w:rFonts w:hint="eastAsia"/>
                <w:color w:val="auto"/>
                <w:kern w:val="0"/>
                <w:sz w:val="21"/>
                <w:szCs w:val="21"/>
              </w:rPr>
              <w:t>独立费用</w:t>
            </w:r>
          </w:p>
        </w:tc>
        <w:tc>
          <w:tcPr>
            <w:tcW w:w="749" w:type="pct"/>
            <w:shd w:val="clear" w:color="auto" w:fill="auto"/>
            <w:vAlign w:val="center"/>
          </w:tcPr>
          <w:p>
            <w:pPr>
              <w:widowControl/>
              <w:contextualSpacing/>
              <w:jc w:val="center"/>
              <w:rPr>
                <w:color w:val="auto"/>
                <w:kern w:val="0"/>
                <w:sz w:val="21"/>
                <w:szCs w:val="21"/>
              </w:rPr>
            </w:pPr>
            <w:r>
              <w:rPr>
                <w:color w:val="auto"/>
                <w:kern w:val="0"/>
                <w:sz w:val="21"/>
                <w:szCs w:val="21"/>
              </w:rPr>
              <w:t>水土保持总投资</w:t>
            </w:r>
          </w:p>
        </w:tc>
        <w:tc>
          <w:tcPr>
            <w:tcW w:w="745" w:type="pct"/>
            <w:vAlign w:val="center"/>
          </w:tcPr>
          <w:p>
            <w:pPr>
              <w:widowControl/>
              <w:contextualSpacing/>
              <w:jc w:val="center"/>
              <w:rPr>
                <w:color w:val="auto"/>
                <w:kern w:val="0"/>
                <w:sz w:val="21"/>
                <w:szCs w:val="21"/>
              </w:rPr>
            </w:pPr>
            <w:r>
              <w:rPr>
                <w:color w:val="auto"/>
                <w:kern w:val="0"/>
                <w:sz w:val="21"/>
                <w:szCs w:val="21"/>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第一部分 工程措施</w:t>
            </w:r>
          </w:p>
        </w:tc>
        <w:tc>
          <w:tcPr>
            <w:tcW w:w="626" w:type="pct"/>
            <w:tcBorders>
              <w:bottom w:val="nil"/>
            </w:tcBorders>
            <w:shd w:val="clear" w:color="auto" w:fill="auto"/>
            <w:vAlign w:val="center"/>
          </w:tcPr>
          <w:p>
            <w:pPr>
              <w:widowControl/>
              <w:contextualSpacing/>
              <w:jc w:val="center"/>
              <w:rPr>
                <w:rFonts w:eastAsia="宋体"/>
                <w:b/>
                <w:bCs/>
                <w:color w:val="auto"/>
                <w:kern w:val="0"/>
                <w:sz w:val="21"/>
                <w:szCs w:val="21"/>
              </w:rPr>
            </w:pPr>
            <w:r>
              <w:rPr>
                <w:rFonts w:hint="eastAsia" w:eastAsia="宋体"/>
                <w:b/>
                <w:bCs/>
                <w:color w:val="auto"/>
                <w:kern w:val="0"/>
                <w:sz w:val="21"/>
                <w:szCs w:val="21"/>
              </w:rPr>
              <w:t>6</w:t>
            </w:r>
            <w:r>
              <w:rPr>
                <w:rFonts w:eastAsia="宋体"/>
                <w:b/>
                <w:bCs/>
                <w:color w:val="auto"/>
                <w:kern w:val="0"/>
                <w:sz w:val="21"/>
                <w:szCs w:val="21"/>
              </w:rPr>
              <w:t>1.59</w:t>
            </w:r>
          </w:p>
        </w:tc>
        <w:tc>
          <w:tcPr>
            <w:tcW w:w="537" w:type="pct"/>
            <w:shd w:val="clear" w:color="auto" w:fill="auto"/>
            <w:vAlign w:val="center"/>
          </w:tcPr>
          <w:p>
            <w:pPr>
              <w:widowControl/>
              <w:contextualSpacing/>
              <w:jc w:val="center"/>
              <w:rPr>
                <w:rFonts w:eastAsia="宋体"/>
                <w:b/>
                <w:bCs/>
                <w:color w:val="auto"/>
                <w:kern w:val="0"/>
                <w:sz w:val="21"/>
                <w:szCs w:val="21"/>
              </w:rPr>
            </w:pP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p>
        </w:tc>
        <w:tc>
          <w:tcPr>
            <w:tcW w:w="745" w:type="pct"/>
            <w:vAlign w:val="center"/>
          </w:tcPr>
          <w:p>
            <w:pPr>
              <w:widowControl/>
              <w:contextualSpacing/>
              <w:jc w:val="center"/>
              <w:rPr>
                <w:rFonts w:eastAsia="宋体"/>
                <w:b/>
                <w:bCs/>
                <w:color w:val="auto"/>
                <w:kern w:val="0"/>
                <w:sz w:val="21"/>
                <w:szCs w:val="21"/>
              </w:rPr>
            </w:pPr>
            <w:r>
              <w:rPr>
                <w:rFonts w:hint="eastAsia" w:eastAsia="宋体"/>
                <w:b/>
                <w:bCs/>
                <w:color w:val="auto"/>
                <w:kern w:val="0"/>
                <w:sz w:val="21"/>
                <w:szCs w:val="21"/>
              </w:rPr>
              <w:t>6</w:t>
            </w:r>
            <w:r>
              <w:rPr>
                <w:rFonts w:eastAsia="宋体"/>
                <w:b/>
                <w:bCs/>
                <w:color w:val="auto"/>
                <w:kern w:val="0"/>
                <w:sz w:val="21"/>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1</w:t>
            </w:r>
          </w:p>
        </w:tc>
        <w:tc>
          <w:tcPr>
            <w:tcW w:w="1276" w:type="pct"/>
            <w:shd w:val="clear" w:color="auto" w:fill="auto"/>
            <w:vAlign w:val="center"/>
          </w:tcPr>
          <w:p>
            <w:pPr>
              <w:widowControl/>
              <w:contextualSpacing/>
              <w:jc w:val="center"/>
              <w:rPr>
                <w:color w:val="auto"/>
                <w:kern w:val="0"/>
                <w:sz w:val="21"/>
                <w:szCs w:val="21"/>
              </w:rPr>
            </w:pPr>
            <w:r>
              <w:rPr>
                <w:color w:val="auto"/>
                <w:kern w:val="0"/>
                <w:sz w:val="21"/>
                <w:szCs w:val="21"/>
              </w:rPr>
              <w:t>道路</w:t>
            </w:r>
            <w:r>
              <w:rPr>
                <w:rFonts w:hint="eastAsia"/>
                <w:color w:val="auto"/>
                <w:kern w:val="0"/>
                <w:sz w:val="21"/>
                <w:szCs w:val="21"/>
              </w:rPr>
              <w:t>地面</w:t>
            </w:r>
            <w:r>
              <w:rPr>
                <w:color w:val="auto"/>
                <w:kern w:val="0"/>
                <w:sz w:val="21"/>
                <w:szCs w:val="21"/>
              </w:rPr>
              <w:t>硬化区</w:t>
            </w:r>
          </w:p>
        </w:tc>
        <w:tc>
          <w:tcPr>
            <w:tcW w:w="626"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3</w:t>
            </w:r>
            <w:r>
              <w:rPr>
                <w:rFonts w:eastAsia="宋体"/>
                <w:color w:val="auto"/>
                <w:kern w:val="0"/>
                <w:sz w:val="21"/>
                <w:szCs w:val="21"/>
              </w:rPr>
              <w:t>5.64</w:t>
            </w: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p>
        </w:tc>
        <w:tc>
          <w:tcPr>
            <w:tcW w:w="749" w:type="pct"/>
            <w:shd w:val="clear" w:color="auto" w:fill="auto"/>
            <w:vAlign w:val="center"/>
          </w:tcPr>
          <w:p>
            <w:pPr>
              <w:widowControl/>
              <w:contextualSpacing/>
              <w:jc w:val="center"/>
              <w:rPr>
                <w:rFonts w:eastAsia="宋体"/>
                <w:color w:val="auto"/>
                <w:kern w:val="0"/>
                <w:sz w:val="21"/>
                <w:szCs w:val="21"/>
              </w:rPr>
            </w:pPr>
          </w:p>
        </w:tc>
        <w:tc>
          <w:tcPr>
            <w:tcW w:w="745" w:type="pct"/>
            <w:vAlign w:val="center"/>
          </w:tcPr>
          <w:p>
            <w:pPr>
              <w:widowControl/>
              <w:contextualSpacing/>
              <w:jc w:val="center"/>
              <w:rPr>
                <w:rFonts w:eastAsia="宋体"/>
                <w:color w:val="auto"/>
                <w:kern w:val="0"/>
                <w:sz w:val="21"/>
                <w:szCs w:val="21"/>
              </w:rPr>
            </w:pPr>
            <w:r>
              <w:rPr>
                <w:rFonts w:hint="eastAsia" w:eastAsia="宋体"/>
                <w:color w:val="auto"/>
                <w:kern w:val="0"/>
                <w:sz w:val="21"/>
                <w:szCs w:val="21"/>
              </w:rPr>
              <w:t>3</w:t>
            </w:r>
            <w:r>
              <w:rPr>
                <w:rFonts w:eastAsia="宋体"/>
                <w:color w:val="auto"/>
                <w:kern w:val="0"/>
                <w:sz w:val="21"/>
                <w:szCs w:val="21"/>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2</w:t>
            </w:r>
          </w:p>
        </w:tc>
        <w:tc>
          <w:tcPr>
            <w:tcW w:w="1276"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绿化区</w:t>
            </w:r>
          </w:p>
        </w:tc>
        <w:tc>
          <w:tcPr>
            <w:tcW w:w="626"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3.03</w:t>
            </w: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p>
        </w:tc>
        <w:tc>
          <w:tcPr>
            <w:tcW w:w="749" w:type="pct"/>
            <w:shd w:val="clear" w:color="auto" w:fill="auto"/>
            <w:vAlign w:val="center"/>
          </w:tcPr>
          <w:p>
            <w:pPr>
              <w:widowControl/>
              <w:contextualSpacing/>
              <w:jc w:val="center"/>
              <w:rPr>
                <w:rFonts w:eastAsia="宋体"/>
                <w:color w:val="auto"/>
                <w:kern w:val="0"/>
                <w:sz w:val="21"/>
                <w:szCs w:val="21"/>
              </w:rPr>
            </w:pPr>
          </w:p>
        </w:tc>
        <w:tc>
          <w:tcPr>
            <w:tcW w:w="745" w:type="pct"/>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3</w:t>
            </w:r>
          </w:p>
        </w:tc>
        <w:tc>
          <w:tcPr>
            <w:tcW w:w="1276"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工业园区管网区</w:t>
            </w:r>
          </w:p>
        </w:tc>
        <w:tc>
          <w:tcPr>
            <w:tcW w:w="626"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1.92</w:t>
            </w: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p>
        </w:tc>
        <w:tc>
          <w:tcPr>
            <w:tcW w:w="749" w:type="pct"/>
            <w:shd w:val="clear" w:color="auto" w:fill="auto"/>
            <w:vAlign w:val="center"/>
          </w:tcPr>
          <w:p>
            <w:pPr>
              <w:widowControl/>
              <w:contextualSpacing/>
              <w:jc w:val="center"/>
              <w:rPr>
                <w:rFonts w:eastAsia="宋体"/>
                <w:color w:val="auto"/>
                <w:kern w:val="0"/>
                <w:sz w:val="21"/>
                <w:szCs w:val="21"/>
              </w:rPr>
            </w:pPr>
          </w:p>
        </w:tc>
        <w:tc>
          <w:tcPr>
            <w:tcW w:w="745" w:type="pct"/>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4</w:t>
            </w:r>
          </w:p>
        </w:tc>
        <w:tc>
          <w:tcPr>
            <w:tcW w:w="1276"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施工生产区</w:t>
            </w:r>
          </w:p>
        </w:tc>
        <w:tc>
          <w:tcPr>
            <w:tcW w:w="626"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.00</w:t>
            </w: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p>
        </w:tc>
        <w:tc>
          <w:tcPr>
            <w:tcW w:w="749" w:type="pct"/>
            <w:shd w:val="clear" w:color="auto" w:fill="auto"/>
            <w:vAlign w:val="center"/>
          </w:tcPr>
          <w:p>
            <w:pPr>
              <w:widowControl/>
              <w:contextualSpacing/>
              <w:jc w:val="center"/>
              <w:rPr>
                <w:rFonts w:eastAsia="宋体"/>
                <w:color w:val="auto"/>
                <w:kern w:val="0"/>
                <w:sz w:val="21"/>
                <w:szCs w:val="21"/>
              </w:rPr>
            </w:pPr>
          </w:p>
        </w:tc>
        <w:tc>
          <w:tcPr>
            <w:tcW w:w="745" w:type="pct"/>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第</w:t>
            </w:r>
            <w:r>
              <w:rPr>
                <w:rFonts w:hint="eastAsia"/>
                <w:b/>
                <w:bCs/>
                <w:color w:val="auto"/>
                <w:kern w:val="0"/>
                <w:sz w:val="21"/>
                <w:szCs w:val="21"/>
              </w:rPr>
              <w:t>二</w:t>
            </w:r>
            <w:r>
              <w:rPr>
                <w:b/>
                <w:bCs/>
                <w:color w:val="auto"/>
                <w:kern w:val="0"/>
                <w:sz w:val="21"/>
                <w:szCs w:val="21"/>
              </w:rPr>
              <w:t xml:space="preserve">部分 </w:t>
            </w:r>
            <w:r>
              <w:rPr>
                <w:rFonts w:hint="eastAsia"/>
                <w:b/>
                <w:bCs/>
                <w:color w:val="auto"/>
                <w:kern w:val="0"/>
                <w:sz w:val="21"/>
                <w:szCs w:val="21"/>
              </w:rPr>
              <w:t>植物</w:t>
            </w:r>
            <w:r>
              <w:rPr>
                <w:b/>
                <w:bCs/>
                <w:color w:val="auto"/>
                <w:kern w:val="0"/>
                <w:sz w:val="21"/>
                <w:szCs w:val="21"/>
              </w:rPr>
              <w:t>措施</w:t>
            </w:r>
          </w:p>
        </w:tc>
        <w:tc>
          <w:tcPr>
            <w:tcW w:w="626" w:type="pct"/>
            <w:shd w:val="clear" w:color="auto" w:fill="auto"/>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b/>
                <w:bCs/>
                <w:color w:val="auto"/>
                <w:kern w:val="0"/>
                <w:sz w:val="21"/>
                <w:szCs w:val="21"/>
              </w:rPr>
            </w:pPr>
            <w:r>
              <w:rPr>
                <w:rFonts w:hint="eastAsia" w:eastAsia="宋体"/>
                <w:b/>
                <w:bCs/>
                <w:color w:val="auto"/>
                <w:kern w:val="0"/>
                <w:sz w:val="21"/>
                <w:szCs w:val="21"/>
              </w:rPr>
              <w:t>1</w:t>
            </w:r>
            <w:r>
              <w:rPr>
                <w:rFonts w:eastAsia="宋体"/>
                <w:b/>
                <w:bCs/>
                <w:color w:val="auto"/>
                <w:kern w:val="0"/>
                <w:sz w:val="21"/>
                <w:szCs w:val="21"/>
              </w:rPr>
              <w:t>1.01</w:t>
            </w: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p>
        </w:tc>
        <w:tc>
          <w:tcPr>
            <w:tcW w:w="745" w:type="pct"/>
            <w:vAlign w:val="center"/>
          </w:tcPr>
          <w:p>
            <w:pPr>
              <w:widowControl/>
              <w:contextualSpacing/>
              <w:jc w:val="center"/>
              <w:rPr>
                <w:rFonts w:eastAsia="宋体"/>
                <w:b/>
                <w:bCs/>
                <w:color w:val="auto"/>
                <w:kern w:val="0"/>
                <w:sz w:val="21"/>
                <w:szCs w:val="21"/>
              </w:rPr>
            </w:pPr>
            <w:r>
              <w:rPr>
                <w:rFonts w:hint="eastAsia" w:eastAsia="宋体"/>
                <w:b/>
                <w:bCs/>
                <w:color w:val="auto"/>
                <w:kern w:val="0"/>
                <w:sz w:val="21"/>
                <w:szCs w:val="21"/>
              </w:rPr>
              <w:t>1</w:t>
            </w:r>
            <w:r>
              <w:rPr>
                <w:rFonts w:eastAsia="宋体"/>
                <w:b/>
                <w:bCs/>
                <w:color w:val="auto"/>
                <w:kern w:val="0"/>
                <w:sz w:val="21"/>
                <w:szCs w:val="21"/>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63"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1</w:t>
            </w:r>
          </w:p>
        </w:tc>
        <w:tc>
          <w:tcPr>
            <w:tcW w:w="1295"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绿化区</w:t>
            </w:r>
          </w:p>
        </w:tc>
        <w:tc>
          <w:tcPr>
            <w:tcW w:w="626" w:type="pct"/>
            <w:shd w:val="clear" w:color="auto" w:fill="auto"/>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8</w:t>
            </w:r>
            <w:r>
              <w:rPr>
                <w:rFonts w:eastAsia="宋体"/>
                <w:color w:val="auto"/>
                <w:kern w:val="0"/>
                <w:sz w:val="21"/>
                <w:szCs w:val="21"/>
              </w:rPr>
              <w:t>.48</w:t>
            </w: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p>
        </w:tc>
        <w:tc>
          <w:tcPr>
            <w:tcW w:w="745" w:type="pct"/>
            <w:vAlign w:val="center"/>
          </w:tcPr>
          <w:p>
            <w:pPr>
              <w:widowControl/>
              <w:contextualSpacing/>
              <w:jc w:val="center"/>
              <w:rPr>
                <w:rFonts w:eastAsia="宋体"/>
                <w:b/>
                <w:bCs/>
                <w:color w:val="auto"/>
                <w:kern w:val="0"/>
                <w:sz w:val="21"/>
                <w:szCs w:val="21"/>
              </w:rPr>
            </w:pPr>
            <w:r>
              <w:rPr>
                <w:rFonts w:hint="eastAsia" w:eastAsia="宋体"/>
                <w:color w:val="auto"/>
                <w:kern w:val="0"/>
                <w:sz w:val="21"/>
                <w:szCs w:val="21"/>
              </w:rPr>
              <w:t>8</w:t>
            </w:r>
            <w:r>
              <w:rPr>
                <w:rFonts w:eastAsia="宋体"/>
                <w:color w:val="auto"/>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63"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2</w:t>
            </w:r>
          </w:p>
        </w:tc>
        <w:tc>
          <w:tcPr>
            <w:tcW w:w="1295"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工业园区管网区</w:t>
            </w:r>
          </w:p>
        </w:tc>
        <w:tc>
          <w:tcPr>
            <w:tcW w:w="626" w:type="pct"/>
            <w:shd w:val="clear" w:color="auto" w:fill="auto"/>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2</w:t>
            </w:r>
            <w:r>
              <w:rPr>
                <w:rFonts w:eastAsia="宋体"/>
                <w:color w:val="auto"/>
                <w:kern w:val="0"/>
                <w:sz w:val="21"/>
                <w:szCs w:val="21"/>
              </w:rPr>
              <w:t>.53</w:t>
            </w: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p>
        </w:tc>
        <w:tc>
          <w:tcPr>
            <w:tcW w:w="745" w:type="pct"/>
            <w:vAlign w:val="center"/>
          </w:tcPr>
          <w:p>
            <w:pPr>
              <w:widowControl/>
              <w:contextualSpacing/>
              <w:jc w:val="center"/>
              <w:rPr>
                <w:rFonts w:eastAsia="宋体"/>
                <w:b/>
                <w:bCs/>
                <w:color w:val="auto"/>
                <w:kern w:val="0"/>
                <w:sz w:val="21"/>
                <w:szCs w:val="21"/>
              </w:rPr>
            </w:pPr>
            <w:r>
              <w:rPr>
                <w:rFonts w:hint="eastAsia" w:eastAsia="宋体"/>
                <w:color w:val="auto"/>
                <w:kern w:val="0"/>
                <w:sz w:val="21"/>
                <w:szCs w:val="21"/>
              </w:rPr>
              <w:t>2</w:t>
            </w:r>
            <w:r>
              <w:rPr>
                <w:rFonts w:eastAsia="宋体"/>
                <w:color w:val="auto"/>
                <w:kern w:val="0"/>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第</w:t>
            </w:r>
            <w:r>
              <w:rPr>
                <w:rFonts w:hint="eastAsia"/>
                <w:b/>
                <w:bCs/>
                <w:color w:val="auto"/>
                <w:kern w:val="0"/>
                <w:sz w:val="21"/>
                <w:szCs w:val="21"/>
              </w:rPr>
              <w:t>三</w:t>
            </w:r>
            <w:r>
              <w:rPr>
                <w:b/>
                <w:bCs/>
                <w:color w:val="auto"/>
                <w:kern w:val="0"/>
                <w:sz w:val="21"/>
                <w:szCs w:val="21"/>
              </w:rPr>
              <w:t>部分 临时措施</w:t>
            </w:r>
          </w:p>
        </w:tc>
        <w:tc>
          <w:tcPr>
            <w:tcW w:w="626" w:type="pct"/>
            <w:shd w:val="clear" w:color="auto" w:fill="auto"/>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20.41</w:t>
            </w:r>
          </w:p>
        </w:tc>
        <w:tc>
          <w:tcPr>
            <w:tcW w:w="537" w:type="pct"/>
            <w:shd w:val="clear" w:color="auto" w:fill="auto"/>
            <w:vAlign w:val="center"/>
          </w:tcPr>
          <w:p>
            <w:pPr>
              <w:widowControl/>
              <w:contextualSpacing/>
              <w:jc w:val="center"/>
              <w:rPr>
                <w:rFonts w:eastAsia="宋体"/>
                <w:b/>
                <w:bCs/>
                <w:color w:val="auto"/>
                <w:kern w:val="0"/>
                <w:sz w:val="21"/>
                <w:szCs w:val="21"/>
              </w:rPr>
            </w:pP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20.41</w:t>
            </w:r>
          </w:p>
        </w:tc>
        <w:tc>
          <w:tcPr>
            <w:tcW w:w="745" w:type="pct"/>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20.41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1</w:t>
            </w:r>
          </w:p>
        </w:tc>
        <w:tc>
          <w:tcPr>
            <w:tcW w:w="1276"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建构筑物区</w:t>
            </w:r>
          </w:p>
        </w:tc>
        <w:tc>
          <w:tcPr>
            <w:tcW w:w="626"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2.42</w:t>
            </w: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p>
        </w:tc>
        <w:tc>
          <w:tcPr>
            <w:tcW w:w="749"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2.42</w:t>
            </w:r>
          </w:p>
        </w:tc>
        <w:tc>
          <w:tcPr>
            <w:tcW w:w="745" w:type="pct"/>
            <w:vAlign w:val="center"/>
          </w:tcPr>
          <w:p>
            <w:pPr>
              <w:widowControl/>
              <w:contextualSpacing/>
              <w:jc w:val="center"/>
              <w:rPr>
                <w:rFonts w:eastAsia="宋体"/>
                <w:color w:val="auto"/>
                <w:kern w:val="0"/>
                <w:sz w:val="21"/>
                <w:szCs w:val="21"/>
              </w:rPr>
            </w:pPr>
            <w:r>
              <w:rPr>
                <w:rFonts w:eastAsia="宋体"/>
                <w:color w:val="auto"/>
                <w:kern w:val="0"/>
                <w:sz w:val="21"/>
                <w:szCs w:val="21"/>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2</w:t>
            </w:r>
          </w:p>
        </w:tc>
        <w:tc>
          <w:tcPr>
            <w:tcW w:w="1276" w:type="pct"/>
            <w:shd w:val="clear" w:color="auto" w:fill="auto"/>
            <w:vAlign w:val="center"/>
          </w:tcPr>
          <w:p>
            <w:pPr>
              <w:widowControl/>
              <w:contextualSpacing/>
              <w:jc w:val="center"/>
              <w:rPr>
                <w:color w:val="auto"/>
                <w:kern w:val="0"/>
                <w:sz w:val="21"/>
                <w:szCs w:val="21"/>
              </w:rPr>
            </w:pPr>
            <w:r>
              <w:rPr>
                <w:rFonts w:hint="eastAsia"/>
                <w:color w:val="auto"/>
                <w:kern w:val="0"/>
                <w:sz w:val="21"/>
                <w:szCs w:val="21"/>
              </w:rPr>
              <w:t>施工生产区</w:t>
            </w:r>
          </w:p>
        </w:tc>
        <w:tc>
          <w:tcPr>
            <w:tcW w:w="626"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7.99</w:t>
            </w: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p>
        </w:tc>
        <w:tc>
          <w:tcPr>
            <w:tcW w:w="749" w:type="pct"/>
            <w:shd w:val="clear" w:color="auto" w:fill="auto"/>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7.99</w:t>
            </w:r>
          </w:p>
        </w:tc>
        <w:tc>
          <w:tcPr>
            <w:tcW w:w="745" w:type="pct"/>
            <w:vAlign w:val="center"/>
          </w:tcPr>
          <w:p>
            <w:pPr>
              <w:widowControl/>
              <w:contextualSpacing/>
              <w:jc w:val="center"/>
              <w:rPr>
                <w:rFonts w:eastAsia="宋体"/>
                <w:color w:val="auto"/>
                <w:kern w:val="0"/>
                <w:sz w:val="21"/>
                <w:szCs w:val="21"/>
              </w:rPr>
            </w:pPr>
            <w:r>
              <w:rPr>
                <w:rFonts w:hint="eastAsia" w:eastAsia="宋体"/>
                <w:color w:val="auto"/>
                <w:kern w:val="0"/>
                <w:sz w:val="21"/>
                <w:szCs w:val="21"/>
              </w:rPr>
              <w:t>1</w:t>
            </w:r>
            <w:r>
              <w:rPr>
                <w:rFonts w:eastAsia="宋体"/>
                <w:color w:val="auto"/>
                <w:kern w:val="0"/>
                <w:sz w:val="21"/>
                <w:szCs w:val="21"/>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第四部分 独立费用</w:t>
            </w:r>
          </w:p>
        </w:tc>
        <w:tc>
          <w:tcPr>
            <w:tcW w:w="626" w:type="pct"/>
            <w:shd w:val="clear" w:color="auto" w:fill="auto"/>
            <w:noWrap/>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b/>
                <w:bCs/>
                <w:color w:val="auto"/>
                <w:kern w:val="0"/>
                <w:sz w:val="21"/>
                <w:szCs w:val="21"/>
              </w:rPr>
            </w:pPr>
          </w:p>
        </w:tc>
        <w:tc>
          <w:tcPr>
            <w:tcW w:w="585" w:type="pct"/>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8.00</w:t>
            </w:r>
          </w:p>
        </w:tc>
        <w:tc>
          <w:tcPr>
            <w:tcW w:w="749" w:type="pct"/>
            <w:shd w:val="clear" w:color="auto" w:fill="auto"/>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8.00</w:t>
            </w:r>
          </w:p>
        </w:tc>
        <w:tc>
          <w:tcPr>
            <w:tcW w:w="745" w:type="pct"/>
            <w:vAlign w:val="center"/>
          </w:tcPr>
          <w:p>
            <w:pPr>
              <w:widowControl/>
              <w:contextualSpacing/>
              <w:jc w:val="center"/>
              <w:rPr>
                <w:rFonts w:eastAsia="宋体"/>
                <w:b/>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color w:val="auto"/>
                <w:kern w:val="0"/>
                <w:sz w:val="21"/>
                <w:szCs w:val="21"/>
              </w:rPr>
            </w:pPr>
            <w:r>
              <w:rPr>
                <w:color w:val="auto"/>
                <w:kern w:val="0"/>
                <w:sz w:val="21"/>
                <w:szCs w:val="21"/>
              </w:rPr>
              <w:t>一</w:t>
            </w:r>
          </w:p>
        </w:tc>
        <w:tc>
          <w:tcPr>
            <w:tcW w:w="1276" w:type="pct"/>
            <w:shd w:val="clear" w:color="auto" w:fill="auto"/>
            <w:vAlign w:val="center"/>
          </w:tcPr>
          <w:p>
            <w:pPr>
              <w:widowControl/>
              <w:contextualSpacing/>
              <w:jc w:val="center"/>
              <w:rPr>
                <w:color w:val="auto"/>
                <w:kern w:val="0"/>
                <w:sz w:val="21"/>
                <w:szCs w:val="21"/>
              </w:rPr>
            </w:pPr>
            <w:r>
              <w:rPr>
                <w:color w:val="auto"/>
                <w:kern w:val="0"/>
                <w:sz w:val="21"/>
                <w:szCs w:val="21"/>
              </w:rPr>
              <w:t>建设管理费</w:t>
            </w:r>
          </w:p>
        </w:tc>
        <w:tc>
          <w:tcPr>
            <w:tcW w:w="626" w:type="pct"/>
            <w:shd w:val="clear" w:color="auto" w:fill="auto"/>
            <w:noWrap/>
            <w:vAlign w:val="center"/>
          </w:tcPr>
          <w:p>
            <w:pPr>
              <w:widowControl/>
              <w:contextualSpacing/>
              <w:jc w:val="center"/>
              <w:rPr>
                <w:rFonts w:eastAsia="宋体"/>
                <w:color w:val="auto"/>
                <w:kern w:val="0"/>
                <w:sz w:val="21"/>
                <w:szCs w:val="21"/>
              </w:rPr>
            </w:pP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r>
              <w:rPr>
                <w:rFonts w:eastAsia="宋体"/>
                <w:color w:val="auto"/>
                <w:kern w:val="0"/>
                <w:sz w:val="21"/>
                <w:szCs w:val="21"/>
              </w:rPr>
              <w:t>0</w:t>
            </w:r>
          </w:p>
        </w:tc>
        <w:tc>
          <w:tcPr>
            <w:tcW w:w="749"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0</w:t>
            </w:r>
          </w:p>
        </w:tc>
        <w:tc>
          <w:tcPr>
            <w:tcW w:w="745" w:type="pct"/>
            <w:vAlign w:val="center"/>
          </w:tcPr>
          <w:p>
            <w:pPr>
              <w:widowControl/>
              <w:contextualSpacing/>
              <w:jc w:val="center"/>
              <w:rPr>
                <w:rFonts w:eastAsia="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color w:val="auto"/>
                <w:kern w:val="0"/>
                <w:sz w:val="21"/>
                <w:szCs w:val="21"/>
              </w:rPr>
            </w:pPr>
            <w:r>
              <w:rPr>
                <w:color w:val="auto"/>
                <w:kern w:val="0"/>
                <w:sz w:val="21"/>
                <w:szCs w:val="21"/>
              </w:rPr>
              <w:t>二</w:t>
            </w:r>
          </w:p>
        </w:tc>
        <w:tc>
          <w:tcPr>
            <w:tcW w:w="1276" w:type="pct"/>
            <w:shd w:val="clear" w:color="auto" w:fill="auto"/>
            <w:vAlign w:val="center"/>
          </w:tcPr>
          <w:p>
            <w:pPr>
              <w:widowControl/>
              <w:contextualSpacing/>
              <w:jc w:val="center"/>
              <w:rPr>
                <w:color w:val="auto"/>
                <w:kern w:val="0"/>
                <w:sz w:val="21"/>
                <w:szCs w:val="21"/>
              </w:rPr>
            </w:pPr>
            <w:r>
              <w:rPr>
                <w:color w:val="auto"/>
                <w:kern w:val="0"/>
                <w:sz w:val="21"/>
                <w:szCs w:val="21"/>
              </w:rPr>
              <w:t>水土保持监理费</w:t>
            </w:r>
          </w:p>
        </w:tc>
        <w:tc>
          <w:tcPr>
            <w:tcW w:w="626" w:type="pct"/>
            <w:shd w:val="clear" w:color="auto" w:fill="auto"/>
            <w:noWrap/>
            <w:vAlign w:val="center"/>
          </w:tcPr>
          <w:p>
            <w:pPr>
              <w:widowControl/>
              <w:contextualSpacing/>
              <w:jc w:val="center"/>
              <w:rPr>
                <w:rFonts w:eastAsia="宋体"/>
                <w:color w:val="auto"/>
                <w:kern w:val="0"/>
                <w:sz w:val="21"/>
                <w:szCs w:val="21"/>
              </w:rPr>
            </w:pP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r>
              <w:rPr>
                <w:rFonts w:eastAsia="宋体"/>
                <w:color w:val="auto"/>
                <w:kern w:val="0"/>
                <w:sz w:val="21"/>
                <w:szCs w:val="21"/>
              </w:rPr>
              <w:t>0</w:t>
            </w:r>
          </w:p>
        </w:tc>
        <w:tc>
          <w:tcPr>
            <w:tcW w:w="749"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 xml:space="preserve">0 </w:t>
            </w:r>
          </w:p>
        </w:tc>
        <w:tc>
          <w:tcPr>
            <w:tcW w:w="745" w:type="pct"/>
            <w:vAlign w:val="center"/>
          </w:tcPr>
          <w:p>
            <w:pPr>
              <w:widowControl/>
              <w:contextualSpacing/>
              <w:jc w:val="center"/>
              <w:rPr>
                <w:rFonts w:eastAsia="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color w:val="auto"/>
                <w:kern w:val="0"/>
                <w:sz w:val="21"/>
                <w:szCs w:val="21"/>
              </w:rPr>
            </w:pPr>
            <w:r>
              <w:rPr>
                <w:color w:val="auto"/>
                <w:kern w:val="0"/>
                <w:sz w:val="21"/>
                <w:szCs w:val="21"/>
              </w:rPr>
              <w:t>三</w:t>
            </w:r>
          </w:p>
        </w:tc>
        <w:tc>
          <w:tcPr>
            <w:tcW w:w="1276" w:type="pct"/>
            <w:shd w:val="clear" w:color="auto" w:fill="auto"/>
            <w:vAlign w:val="center"/>
          </w:tcPr>
          <w:p>
            <w:pPr>
              <w:widowControl/>
              <w:contextualSpacing/>
              <w:jc w:val="center"/>
              <w:rPr>
                <w:color w:val="auto"/>
                <w:kern w:val="0"/>
                <w:sz w:val="21"/>
                <w:szCs w:val="21"/>
              </w:rPr>
            </w:pPr>
            <w:r>
              <w:rPr>
                <w:color w:val="auto"/>
                <w:kern w:val="0"/>
                <w:sz w:val="21"/>
                <w:szCs w:val="21"/>
              </w:rPr>
              <w:t>科研勘测设计费</w:t>
            </w:r>
          </w:p>
        </w:tc>
        <w:tc>
          <w:tcPr>
            <w:tcW w:w="626" w:type="pct"/>
            <w:shd w:val="clear" w:color="auto" w:fill="auto"/>
            <w:noWrap/>
            <w:vAlign w:val="center"/>
          </w:tcPr>
          <w:p>
            <w:pPr>
              <w:widowControl/>
              <w:contextualSpacing/>
              <w:jc w:val="center"/>
              <w:rPr>
                <w:rFonts w:eastAsia="宋体"/>
                <w:color w:val="auto"/>
                <w:kern w:val="0"/>
                <w:sz w:val="21"/>
                <w:szCs w:val="21"/>
              </w:rPr>
            </w:pP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r>
              <w:rPr>
                <w:rFonts w:eastAsia="宋体"/>
                <w:color w:val="auto"/>
                <w:kern w:val="0"/>
                <w:sz w:val="21"/>
                <w:szCs w:val="21"/>
              </w:rPr>
              <w:t>5.00</w:t>
            </w:r>
          </w:p>
        </w:tc>
        <w:tc>
          <w:tcPr>
            <w:tcW w:w="749"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5.00</w:t>
            </w:r>
          </w:p>
        </w:tc>
        <w:tc>
          <w:tcPr>
            <w:tcW w:w="745" w:type="pct"/>
            <w:vAlign w:val="center"/>
          </w:tcPr>
          <w:p>
            <w:pPr>
              <w:widowControl/>
              <w:contextualSpacing/>
              <w:jc w:val="center"/>
              <w:rPr>
                <w:rFonts w:eastAsia="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82" w:type="pct"/>
            <w:shd w:val="clear" w:color="auto" w:fill="auto"/>
            <w:vAlign w:val="center"/>
          </w:tcPr>
          <w:p>
            <w:pPr>
              <w:widowControl/>
              <w:contextualSpacing/>
              <w:jc w:val="center"/>
              <w:rPr>
                <w:color w:val="auto"/>
                <w:kern w:val="0"/>
                <w:sz w:val="21"/>
                <w:szCs w:val="21"/>
              </w:rPr>
            </w:pPr>
            <w:r>
              <w:rPr>
                <w:color w:val="auto"/>
                <w:kern w:val="0"/>
                <w:sz w:val="21"/>
                <w:szCs w:val="21"/>
              </w:rPr>
              <w:t>四</w:t>
            </w:r>
          </w:p>
        </w:tc>
        <w:tc>
          <w:tcPr>
            <w:tcW w:w="1276" w:type="pct"/>
            <w:shd w:val="clear" w:color="auto" w:fill="auto"/>
            <w:vAlign w:val="center"/>
          </w:tcPr>
          <w:p>
            <w:pPr>
              <w:widowControl/>
              <w:contextualSpacing/>
              <w:jc w:val="center"/>
              <w:rPr>
                <w:color w:val="auto"/>
                <w:kern w:val="0"/>
                <w:sz w:val="21"/>
                <w:szCs w:val="21"/>
              </w:rPr>
            </w:pPr>
            <w:r>
              <w:rPr>
                <w:color w:val="auto"/>
                <w:kern w:val="0"/>
                <w:sz w:val="21"/>
                <w:szCs w:val="21"/>
              </w:rPr>
              <w:t>水土保持验收费</w:t>
            </w:r>
          </w:p>
        </w:tc>
        <w:tc>
          <w:tcPr>
            <w:tcW w:w="626" w:type="pct"/>
            <w:shd w:val="clear" w:color="auto" w:fill="auto"/>
            <w:noWrap/>
            <w:vAlign w:val="center"/>
          </w:tcPr>
          <w:p>
            <w:pPr>
              <w:widowControl/>
              <w:contextualSpacing/>
              <w:jc w:val="center"/>
              <w:rPr>
                <w:rFonts w:eastAsia="宋体"/>
                <w:color w:val="auto"/>
                <w:kern w:val="0"/>
                <w:sz w:val="21"/>
                <w:szCs w:val="21"/>
              </w:rPr>
            </w:pPr>
          </w:p>
        </w:tc>
        <w:tc>
          <w:tcPr>
            <w:tcW w:w="537" w:type="pct"/>
            <w:shd w:val="clear" w:color="auto" w:fill="auto"/>
            <w:vAlign w:val="center"/>
          </w:tcPr>
          <w:p>
            <w:pPr>
              <w:widowControl/>
              <w:contextualSpacing/>
              <w:jc w:val="center"/>
              <w:rPr>
                <w:rFonts w:eastAsia="宋体"/>
                <w:color w:val="auto"/>
                <w:kern w:val="0"/>
                <w:sz w:val="21"/>
                <w:szCs w:val="21"/>
              </w:rPr>
            </w:pPr>
          </w:p>
        </w:tc>
        <w:tc>
          <w:tcPr>
            <w:tcW w:w="585" w:type="pct"/>
            <w:vAlign w:val="center"/>
          </w:tcPr>
          <w:p>
            <w:pPr>
              <w:widowControl/>
              <w:contextualSpacing/>
              <w:jc w:val="center"/>
              <w:rPr>
                <w:rFonts w:eastAsia="宋体"/>
                <w:color w:val="auto"/>
                <w:kern w:val="0"/>
                <w:sz w:val="21"/>
                <w:szCs w:val="21"/>
              </w:rPr>
            </w:pPr>
            <w:r>
              <w:rPr>
                <w:rFonts w:eastAsia="宋体"/>
                <w:color w:val="auto"/>
                <w:kern w:val="0"/>
                <w:sz w:val="21"/>
                <w:szCs w:val="21"/>
              </w:rPr>
              <w:t xml:space="preserve">3.00 </w:t>
            </w:r>
          </w:p>
        </w:tc>
        <w:tc>
          <w:tcPr>
            <w:tcW w:w="749"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 xml:space="preserve">3.00 </w:t>
            </w:r>
          </w:p>
        </w:tc>
        <w:tc>
          <w:tcPr>
            <w:tcW w:w="745" w:type="pct"/>
            <w:vAlign w:val="center"/>
          </w:tcPr>
          <w:p>
            <w:pPr>
              <w:widowControl/>
              <w:contextualSpacing/>
              <w:jc w:val="center"/>
              <w:rPr>
                <w:rFonts w:eastAsia="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一至四部分合计</w:t>
            </w:r>
          </w:p>
        </w:tc>
        <w:tc>
          <w:tcPr>
            <w:tcW w:w="626" w:type="pct"/>
            <w:shd w:val="clear" w:color="auto" w:fill="auto"/>
            <w:noWrap/>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82.00</w:t>
            </w:r>
          </w:p>
        </w:tc>
        <w:tc>
          <w:tcPr>
            <w:tcW w:w="537" w:type="pct"/>
            <w:shd w:val="clear" w:color="auto" w:fill="auto"/>
            <w:vAlign w:val="center"/>
          </w:tcPr>
          <w:p>
            <w:pPr>
              <w:widowControl/>
              <w:contextualSpacing/>
              <w:jc w:val="center"/>
              <w:rPr>
                <w:rFonts w:eastAsia="宋体"/>
                <w:b/>
                <w:bCs/>
                <w:color w:val="auto"/>
                <w:kern w:val="0"/>
                <w:sz w:val="21"/>
                <w:szCs w:val="21"/>
              </w:rPr>
            </w:pPr>
            <w:r>
              <w:rPr>
                <w:rFonts w:hint="eastAsia" w:eastAsia="宋体"/>
                <w:b/>
                <w:bCs/>
                <w:color w:val="auto"/>
                <w:kern w:val="0"/>
                <w:sz w:val="21"/>
                <w:szCs w:val="21"/>
              </w:rPr>
              <w:t>1</w:t>
            </w:r>
            <w:r>
              <w:rPr>
                <w:rFonts w:eastAsia="宋体"/>
                <w:b/>
                <w:bCs/>
                <w:color w:val="auto"/>
                <w:kern w:val="0"/>
                <w:sz w:val="21"/>
                <w:szCs w:val="21"/>
              </w:rPr>
              <w:t>1.01</w:t>
            </w:r>
          </w:p>
        </w:tc>
        <w:tc>
          <w:tcPr>
            <w:tcW w:w="585" w:type="pct"/>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8.00</w:t>
            </w:r>
          </w:p>
        </w:tc>
        <w:tc>
          <w:tcPr>
            <w:tcW w:w="749" w:type="pct"/>
            <w:shd w:val="clear" w:color="auto" w:fill="auto"/>
            <w:vAlign w:val="center"/>
          </w:tcPr>
          <w:p>
            <w:pPr>
              <w:widowControl/>
              <w:contextualSpacing/>
              <w:jc w:val="center"/>
              <w:rPr>
                <w:rFonts w:eastAsia="宋体"/>
                <w:b/>
                <w:bCs/>
                <w:color w:val="auto"/>
                <w:kern w:val="0"/>
                <w:sz w:val="21"/>
                <w:szCs w:val="21"/>
              </w:rPr>
            </w:pPr>
            <w:r>
              <w:rPr>
                <w:rFonts w:hint="eastAsia" w:eastAsia="宋体"/>
                <w:b/>
                <w:bCs/>
                <w:color w:val="auto"/>
                <w:kern w:val="0"/>
                <w:sz w:val="21"/>
                <w:szCs w:val="21"/>
              </w:rPr>
              <w:t>1</w:t>
            </w:r>
            <w:r>
              <w:rPr>
                <w:rFonts w:eastAsia="宋体"/>
                <w:b/>
                <w:bCs/>
                <w:color w:val="auto"/>
                <w:kern w:val="0"/>
                <w:sz w:val="21"/>
                <w:szCs w:val="21"/>
              </w:rPr>
              <w:t>01.01</w:t>
            </w:r>
          </w:p>
        </w:tc>
        <w:tc>
          <w:tcPr>
            <w:tcW w:w="745" w:type="pct"/>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第五部分 基本预备费</w:t>
            </w:r>
          </w:p>
        </w:tc>
        <w:tc>
          <w:tcPr>
            <w:tcW w:w="626" w:type="pct"/>
            <w:shd w:val="clear" w:color="auto" w:fill="auto"/>
            <w:noWrap/>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b/>
                <w:bCs/>
                <w:color w:val="auto"/>
                <w:kern w:val="0"/>
                <w:sz w:val="21"/>
                <w:szCs w:val="21"/>
              </w:rPr>
            </w:pP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r>
              <w:rPr>
                <w:color w:val="auto"/>
                <w:sz w:val="21"/>
                <w:szCs w:val="21"/>
              </w:rPr>
              <w:t>0.48</w:t>
            </w:r>
          </w:p>
        </w:tc>
        <w:tc>
          <w:tcPr>
            <w:tcW w:w="745" w:type="pct"/>
            <w:vAlign w:val="center"/>
          </w:tcPr>
          <w:p>
            <w:pPr>
              <w:widowControl/>
              <w:contextualSpacing/>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第六部分 水土保持补偿费</w:t>
            </w:r>
          </w:p>
        </w:tc>
        <w:tc>
          <w:tcPr>
            <w:tcW w:w="626" w:type="pct"/>
            <w:shd w:val="clear" w:color="auto" w:fill="auto"/>
            <w:noWrap/>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b/>
                <w:bCs/>
                <w:color w:val="auto"/>
                <w:kern w:val="0"/>
                <w:sz w:val="21"/>
                <w:szCs w:val="21"/>
              </w:rPr>
            </w:pP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r>
              <w:rPr>
                <w:color w:val="auto"/>
                <w:sz w:val="21"/>
                <w:szCs w:val="21"/>
              </w:rPr>
              <w:t>5.03</w:t>
            </w:r>
          </w:p>
        </w:tc>
        <w:tc>
          <w:tcPr>
            <w:tcW w:w="745" w:type="pct"/>
            <w:vAlign w:val="center"/>
          </w:tcPr>
          <w:p>
            <w:pPr>
              <w:widowControl/>
              <w:contextualSpacing/>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8" w:type="pct"/>
            <w:gridSpan w:val="2"/>
            <w:shd w:val="clear" w:color="auto" w:fill="auto"/>
            <w:vAlign w:val="center"/>
          </w:tcPr>
          <w:p>
            <w:pPr>
              <w:widowControl/>
              <w:contextualSpacing/>
              <w:jc w:val="center"/>
              <w:rPr>
                <w:b/>
                <w:bCs/>
                <w:color w:val="auto"/>
                <w:kern w:val="0"/>
                <w:sz w:val="21"/>
                <w:szCs w:val="21"/>
              </w:rPr>
            </w:pPr>
            <w:r>
              <w:rPr>
                <w:b/>
                <w:bCs/>
                <w:color w:val="auto"/>
                <w:kern w:val="0"/>
                <w:sz w:val="21"/>
                <w:szCs w:val="21"/>
              </w:rPr>
              <w:t>工程总投资</w:t>
            </w:r>
          </w:p>
        </w:tc>
        <w:tc>
          <w:tcPr>
            <w:tcW w:w="626" w:type="pct"/>
            <w:shd w:val="clear" w:color="auto" w:fill="auto"/>
            <w:noWrap/>
            <w:vAlign w:val="center"/>
          </w:tcPr>
          <w:p>
            <w:pPr>
              <w:widowControl/>
              <w:contextualSpacing/>
              <w:jc w:val="center"/>
              <w:rPr>
                <w:rFonts w:eastAsia="宋体"/>
                <w:b/>
                <w:bCs/>
                <w:color w:val="auto"/>
                <w:kern w:val="0"/>
                <w:sz w:val="21"/>
                <w:szCs w:val="21"/>
              </w:rPr>
            </w:pPr>
          </w:p>
        </w:tc>
        <w:tc>
          <w:tcPr>
            <w:tcW w:w="537" w:type="pct"/>
            <w:shd w:val="clear" w:color="auto" w:fill="auto"/>
            <w:vAlign w:val="center"/>
          </w:tcPr>
          <w:p>
            <w:pPr>
              <w:widowControl/>
              <w:contextualSpacing/>
              <w:jc w:val="center"/>
              <w:rPr>
                <w:rFonts w:eastAsia="宋体"/>
                <w:b/>
                <w:bCs/>
                <w:color w:val="auto"/>
                <w:kern w:val="0"/>
                <w:sz w:val="21"/>
                <w:szCs w:val="21"/>
              </w:rPr>
            </w:pPr>
          </w:p>
        </w:tc>
        <w:tc>
          <w:tcPr>
            <w:tcW w:w="585" w:type="pct"/>
            <w:vAlign w:val="center"/>
          </w:tcPr>
          <w:p>
            <w:pPr>
              <w:widowControl/>
              <w:contextualSpacing/>
              <w:jc w:val="center"/>
              <w:rPr>
                <w:rFonts w:eastAsia="宋体"/>
                <w:b/>
                <w:bCs/>
                <w:color w:val="auto"/>
                <w:kern w:val="0"/>
                <w:sz w:val="21"/>
                <w:szCs w:val="21"/>
              </w:rPr>
            </w:pPr>
          </w:p>
        </w:tc>
        <w:tc>
          <w:tcPr>
            <w:tcW w:w="749" w:type="pct"/>
            <w:shd w:val="clear" w:color="auto" w:fill="auto"/>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106.52</w:t>
            </w:r>
          </w:p>
        </w:tc>
        <w:tc>
          <w:tcPr>
            <w:tcW w:w="745" w:type="pct"/>
            <w:vAlign w:val="center"/>
          </w:tcPr>
          <w:p>
            <w:pPr>
              <w:widowControl/>
              <w:contextualSpacing/>
              <w:jc w:val="center"/>
              <w:rPr>
                <w:rFonts w:eastAsia="宋体"/>
                <w:b/>
                <w:bCs/>
                <w:color w:val="auto"/>
                <w:kern w:val="0"/>
                <w:sz w:val="21"/>
                <w:szCs w:val="21"/>
              </w:rPr>
            </w:pPr>
            <w:r>
              <w:rPr>
                <w:rFonts w:eastAsia="宋体"/>
                <w:b/>
                <w:bCs/>
                <w:color w:val="auto"/>
                <w:kern w:val="0"/>
                <w:sz w:val="21"/>
                <w:szCs w:val="21"/>
              </w:rPr>
              <w:t>93.02</w:t>
            </w:r>
          </w:p>
        </w:tc>
      </w:tr>
    </w:tbl>
    <w:p>
      <w:pPr>
        <w:pStyle w:val="11"/>
        <w:adjustRightInd w:val="0"/>
        <w:snapToGrid w:val="0"/>
        <w:spacing w:after="0" w:line="300" w:lineRule="auto"/>
        <w:contextualSpacing/>
        <w:jc w:val="center"/>
        <w:rPr>
          <w:b/>
          <w:color w:val="auto"/>
          <w:sz w:val="21"/>
          <w:szCs w:val="21"/>
        </w:rPr>
      </w:pPr>
    </w:p>
    <w:p>
      <w:pPr>
        <w:pStyle w:val="11"/>
        <w:adjustRightInd w:val="0"/>
        <w:snapToGrid w:val="0"/>
        <w:spacing w:after="0" w:line="300" w:lineRule="auto"/>
        <w:contextualSpacing/>
        <w:jc w:val="center"/>
        <w:rPr>
          <w:b/>
          <w:color w:val="auto"/>
          <w:sz w:val="21"/>
          <w:szCs w:val="21"/>
        </w:rPr>
      </w:pPr>
      <w:r>
        <w:rPr>
          <w:b/>
          <w:color w:val="auto"/>
          <w:sz w:val="21"/>
          <w:szCs w:val="21"/>
        </w:rPr>
        <w:t>表6.1-4 新增水土保持工程投资估算总表</w:t>
      </w:r>
      <w:r>
        <w:rPr>
          <w:rFonts w:hint="eastAsia"/>
          <w:b/>
          <w:color w:val="auto"/>
          <w:sz w:val="21"/>
          <w:szCs w:val="21"/>
        </w:rPr>
        <w:t xml:space="preserve"> </w:t>
      </w:r>
      <w:r>
        <w:rPr>
          <w:b/>
          <w:color w:val="auto"/>
          <w:sz w:val="21"/>
          <w:szCs w:val="21"/>
        </w:rPr>
        <w:t xml:space="preserve">   （单位：万元）</w:t>
      </w:r>
    </w:p>
    <w:tbl>
      <w:tblPr>
        <w:tblStyle w:val="25"/>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127"/>
        <w:gridCol w:w="994"/>
        <w:gridCol w:w="1134"/>
        <w:gridCol w:w="992"/>
        <w:gridCol w:w="1236"/>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Merge w:val="restart"/>
            <w:shd w:val="clear" w:color="auto" w:fill="auto"/>
            <w:vAlign w:val="center"/>
          </w:tcPr>
          <w:p>
            <w:pPr>
              <w:adjustRightInd w:val="0"/>
              <w:snapToGrid w:val="0"/>
              <w:contextualSpacing/>
              <w:jc w:val="center"/>
              <w:rPr>
                <w:color w:val="auto"/>
                <w:sz w:val="21"/>
                <w:szCs w:val="21"/>
              </w:rPr>
            </w:pPr>
            <w:r>
              <w:rPr>
                <w:color w:val="auto"/>
                <w:sz w:val="21"/>
                <w:szCs w:val="21"/>
              </w:rPr>
              <w:t>序号</w:t>
            </w:r>
          </w:p>
        </w:tc>
        <w:tc>
          <w:tcPr>
            <w:tcW w:w="1308" w:type="pct"/>
            <w:vMerge w:val="restart"/>
            <w:shd w:val="clear" w:color="auto" w:fill="auto"/>
            <w:vAlign w:val="center"/>
          </w:tcPr>
          <w:p>
            <w:pPr>
              <w:adjustRightInd w:val="0"/>
              <w:snapToGrid w:val="0"/>
              <w:contextualSpacing/>
              <w:jc w:val="center"/>
              <w:rPr>
                <w:color w:val="auto"/>
                <w:sz w:val="21"/>
                <w:szCs w:val="21"/>
              </w:rPr>
            </w:pPr>
            <w:r>
              <w:rPr>
                <w:color w:val="auto"/>
                <w:sz w:val="21"/>
                <w:szCs w:val="21"/>
              </w:rPr>
              <w:t>工程或费用名称</w:t>
            </w:r>
          </w:p>
        </w:tc>
        <w:tc>
          <w:tcPr>
            <w:tcW w:w="611" w:type="pct"/>
            <w:vMerge w:val="restart"/>
            <w:shd w:val="clear" w:color="auto" w:fill="auto"/>
            <w:vAlign w:val="center"/>
          </w:tcPr>
          <w:p>
            <w:pPr>
              <w:widowControl/>
              <w:adjustRightInd w:val="0"/>
              <w:snapToGrid w:val="0"/>
              <w:contextualSpacing/>
              <w:jc w:val="center"/>
              <w:rPr>
                <w:color w:val="auto"/>
                <w:sz w:val="21"/>
                <w:szCs w:val="21"/>
              </w:rPr>
            </w:pPr>
            <w:r>
              <w:rPr>
                <w:color w:val="auto"/>
                <w:sz w:val="21"/>
                <w:szCs w:val="21"/>
              </w:rPr>
              <w:t>建安工程费</w:t>
            </w:r>
          </w:p>
        </w:tc>
        <w:tc>
          <w:tcPr>
            <w:tcW w:w="1307" w:type="pct"/>
            <w:gridSpan w:val="2"/>
            <w:shd w:val="clear" w:color="auto" w:fill="auto"/>
            <w:vAlign w:val="center"/>
          </w:tcPr>
          <w:p>
            <w:pPr>
              <w:widowControl/>
              <w:adjustRightInd w:val="0"/>
              <w:snapToGrid w:val="0"/>
              <w:contextualSpacing/>
              <w:jc w:val="center"/>
              <w:rPr>
                <w:color w:val="auto"/>
                <w:sz w:val="21"/>
                <w:szCs w:val="21"/>
              </w:rPr>
            </w:pPr>
            <w:r>
              <w:rPr>
                <w:color w:val="auto"/>
                <w:sz w:val="21"/>
                <w:szCs w:val="21"/>
              </w:rPr>
              <w:t>植物措施费</w:t>
            </w:r>
          </w:p>
        </w:tc>
        <w:tc>
          <w:tcPr>
            <w:tcW w:w="760" w:type="pct"/>
            <w:vMerge w:val="restart"/>
            <w:shd w:val="clear" w:color="auto" w:fill="auto"/>
            <w:vAlign w:val="center"/>
          </w:tcPr>
          <w:p>
            <w:pPr>
              <w:adjustRightInd w:val="0"/>
              <w:snapToGrid w:val="0"/>
              <w:contextualSpacing/>
              <w:jc w:val="center"/>
              <w:rPr>
                <w:color w:val="auto"/>
                <w:sz w:val="21"/>
                <w:szCs w:val="21"/>
              </w:rPr>
            </w:pPr>
            <w:r>
              <w:rPr>
                <w:color w:val="auto"/>
                <w:sz w:val="21"/>
                <w:szCs w:val="21"/>
              </w:rPr>
              <w:t>独立费用</w:t>
            </w:r>
          </w:p>
        </w:tc>
        <w:tc>
          <w:tcPr>
            <w:tcW w:w="577" w:type="pct"/>
            <w:vMerge w:val="restart"/>
            <w:shd w:val="clear" w:color="auto" w:fill="auto"/>
            <w:vAlign w:val="center"/>
          </w:tcPr>
          <w:p>
            <w:pPr>
              <w:adjustRightInd w:val="0"/>
              <w:snapToGrid w:val="0"/>
              <w:contextualSpacing/>
              <w:jc w:val="center"/>
              <w:rPr>
                <w:color w:val="auto"/>
                <w:sz w:val="21"/>
                <w:szCs w:val="21"/>
              </w:rPr>
            </w:pPr>
            <w:r>
              <w:rPr>
                <w:color w:val="auto"/>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Merge w:val="continue"/>
            <w:shd w:val="clear" w:color="auto" w:fill="auto"/>
            <w:vAlign w:val="center"/>
          </w:tcPr>
          <w:p>
            <w:pPr>
              <w:adjustRightInd w:val="0"/>
              <w:snapToGrid w:val="0"/>
              <w:contextualSpacing/>
              <w:jc w:val="center"/>
              <w:rPr>
                <w:color w:val="auto"/>
                <w:sz w:val="21"/>
                <w:szCs w:val="21"/>
              </w:rPr>
            </w:pPr>
          </w:p>
        </w:tc>
        <w:tc>
          <w:tcPr>
            <w:tcW w:w="1308" w:type="pct"/>
            <w:vMerge w:val="continue"/>
            <w:shd w:val="clear" w:color="auto" w:fill="auto"/>
            <w:vAlign w:val="center"/>
          </w:tcPr>
          <w:p>
            <w:pPr>
              <w:adjustRightInd w:val="0"/>
              <w:snapToGrid w:val="0"/>
              <w:contextualSpacing/>
              <w:jc w:val="center"/>
              <w:rPr>
                <w:color w:val="auto"/>
                <w:sz w:val="21"/>
                <w:szCs w:val="21"/>
              </w:rPr>
            </w:pPr>
          </w:p>
        </w:tc>
        <w:tc>
          <w:tcPr>
            <w:tcW w:w="611" w:type="pct"/>
            <w:vMerge w:val="continue"/>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r>
              <w:rPr>
                <w:color w:val="auto"/>
                <w:sz w:val="21"/>
                <w:szCs w:val="21"/>
              </w:rPr>
              <w:t>栽（种）植费</w:t>
            </w:r>
          </w:p>
        </w:tc>
        <w:tc>
          <w:tcPr>
            <w:tcW w:w="610" w:type="pct"/>
            <w:shd w:val="clear" w:color="auto" w:fill="auto"/>
            <w:vAlign w:val="center"/>
          </w:tcPr>
          <w:p>
            <w:pPr>
              <w:adjustRightInd w:val="0"/>
              <w:snapToGrid w:val="0"/>
              <w:contextualSpacing/>
              <w:jc w:val="center"/>
              <w:rPr>
                <w:color w:val="auto"/>
                <w:sz w:val="21"/>
                <w:szCs w:val="21"/>
              </w:rPr>
            </w:pPr>
            <w:r>
              <w:rPr>
                <w:color w:val="auto"/>
                <w:sz w:val="21"/>
                <w:szCs w:val="21"/>
              </w:rPr>
              <w:t>苗木种子费</w:t>
            </w:r>
          </w:p>
        </w:tc>
        <w:tc>
          <w:tcPr>
            <w:tcW w:w="760" w:type="pct"/>
            <w:vMerge w:val="continue"/>
            <w:shd w:val="clear" w:color="auto" w:fill="auto"/>
            <w:vAlign w:val="center"/>
          </w:tcPr>
          <w:p>
            <w:pPr>
              <w:adjustRightInd w:val="0"/>
              <w:snapToGrid w:val="0"/>
              <w:contextualSpacing/>
              <w:jc w:val="center"/>
              <w:rPr>
                <w:color w:val="auto"/>
                <w:sz w:val="21"/>
                <w:szCs w:val="21"/>
              </w:rPr>
            </w:pPr>
          </w:p>
        </w:tc>
        <w:tc>
          <w:tcPr>
            <w:tcW w:w="577" w:type="pct"/>
            <w:vMerge w:val="continue"/>
            <w:shd w:val="clear" w:color="auto" w:fill="auto"/>
            <w:vAlign w:val="center"/>
          </w:tcPr>
          <w:p>
            <w:pPr>
              <w:adjustRightInd w:val="0"/>
              <w:snapToGrid w:val="0"/>
              <w:contextualSpacing/>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一</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第二部分 独立费用</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8.00</w:t>
            </w:r>
          </w:p>
        </w:tc>
        <w:tc>
          <w:tcPr>
            <w:tcW w:w="577"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color w:val="auto"/>
                <w:sz w:val="21"/>
                <w:szCs w:val="21"/>
              </w:rPr>
              <w:t>1</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建设管理费</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 xml:space="preserve">0 </w:t>
            </w:r>
          </w:p>
        </w:tc>
        <w:tc>
          <w:tcPr>
            <w:tcW w:w="577"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color w:val="auto"/>
                <w:sz w:val="21"/>
                <w:szCs w:val="21"/>
              </w:rPr>
              <w:t>2</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科研勘测设计费</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 xml:space="preserve">5.00 </w:t>
            </w:r>
          </w:p>
        </w:tc>
        <w:tc>
          <w:tcPr>
            <w:tcW w:w="577"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color w:val="auto"/>
                <w:sz w:val="21"/>
                <w:szCs w:val="21"/>
              </w:rPr>
              <w:t>3</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水土保持监理费</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0</w:t>
            </w:r>
          </w:p>
        </w:tc>
        <w:tc>
          <w:tcPr>
            <w:tcW w:w="577"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color w:val="auto"/>
                <w:sz w:val="21"/>
                <w:szCs w:val="21"/>
              </w:rPr>
              <w:t>4</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水土保持验收费</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 xml:space="preserve">3.00 </w:t>
            </w:r>
          </w:p>
        </w:tc>
        <w:tc>
          <w:tcPr>
            <w:tcW w:w="577" w:type="pct"/>
            <w:shd w:val="clear" w:color="auto" w:fill="auto"/>
            <w:vAlign w:val="center"/>
          </w:tcPr>
          <w:p>
            <w:pPr>
              <w:adjustRightInd w:val="0"/>
              <w:snapToGrid w:val="0"/>
              <w:contextualSpacing/>
              <w:jc w:val="center"/>
              <w:rPr>
                <w:color w:val="auto"/>
                <w:sz w:val="21"/>
                <w:szCs w:val="21"/>
              </w:rPr>
            </w:pPr>
            <w:r>
              <w:rPr>
                <w:rFonts w:eastAsia="宋体"/>
                <w:color w:val="auto"/>
                <w:kern w:val="0"/>
                <w:sz w:val="21"/>
                <w:szCs w:val="21"/>
              </w:rPr>
              <w:t xml:space="preserve">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二</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基本预备费</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p>
        </w:tc>
        <w:tc>
          <w:tcPr>
            <w:tcW w:w="577" w:type="pct"/>
            <w:shd w:val="clear" w:color="auto" w:fill="auto"/>
            <w:vAlign w:val="center"/>
          </w:tcPr>
          <w:p>
            <w:pPr>
              <w:adjustRightInd w:val="0"/>
              <w:snapToGrid w:val="0"/>
              <w:contextualSpacing/>
              <w:jc w:val="center"/>
              <w:rPr>
                <w:color w:val="auto"/>
                <w:sz w:val="21"/>
                <w:szCs w:val="21"/>
              </w:rPr>
            </w:pPr>
            <w:r>
              <w:rPr>
                <w:color w:val="auto"/>
                <w:sz w:val="21"/>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三</w:t>
            </w:r>
          </w:p>
        </w:tc>
        <w:tc>
          <w:tcPr>
            <w:tcW w:w="1308" w:type="pct"/>
            <w:shd w:val="clear" w:color="auto" w:fill="auto"/>
            <w:vAlign w:val="center"/>
          </w:tcPr>
          <w:p>
            <w:pPr>
              <w:adjustRightInd w:val="0"/>
              <w:snapToGrid w:val="0"/>
              <w:contextualSpacing/>
              <w:jc w:val="center"/>
              <w:rPr>
                <w:color w:val="auto"/>
                <w:sz w:val="21"/>
                <w:szCs w:val="21"/>
              </w:rPr>
            </w:pPr>
            <w:r>
              <w:rPr>
                <w:color w:val="auto"/>
                <w:sz w:val="21"/>
                <w:szCs w:val="21"/>
              </w:rPr>
              <w:t>水土保持补偿费</w:t>
            </w:r>
          </w:p>
        </w:tc>
        <w:tc>
          <w:tcPr>
            <w:tcW w:w="611" w:type="pct"/>
            <w:shd w:val="clear" w:color="auto" w:fill="auto"/>
            <w:vAlign w:val="center"/>
          </w:tcPr>
          <w:p>
            <w:pPr>
              <w:adjustRightInd w:val="0"/>
              <w:snapToGrid w:val="0"/>
              <w:contextualSpacing/>
              <w:jc w:val="center"/>
              <w:rPr>
                <w:color w:val="auto"/>
                <w:sz w:val="21"/>
                <w:szCs w:val="21"/>
              </w:rPr>
            </w:pPr>
          </w:p>
        </w:tc>
        <w:tc>
          <w:tcPr>
            <w:tcW w:w="697" w:type="pct"/>
            <w:shd w:val="clear" w:color="auto" w:fill="auto"/>
            <w:vAlign w:val="center"/>
          </w:tcPr>
          <w:p>
            <w:pPr>
              <w:adjustRightInd w:val="0"/>
              <w:snapToGrid w:val="0"/>
              <w:contextualSpacing/>
              <w:jc w:val="center"/>
              <w:rPr>
                <w:color w:val="auto"/>
                <w:sz w:val="21"/>
                <w:szCs w:val="21"/>
              </w:rPr>
            </w:pPr>
          </w:p>
        </w:tc>
        <w:tc>
          <w:tcPr>
            <w:tcW w:w="610" w:type="pct"/>
            <w:shd w:val="clear" w:color="auto" w:fill="auto"/>
            <w:vAlign w:val="center"/>
          </w:tcPr>
          <w:p>
            <w:pPr>
              <w:adjustRightInd w:val="0"/>
              <w:snapToGrid w:val="0"/>
              <w:contextualSpacing/>
              <w:jc w:val="center"/>
              <w:rPr>
                <w:color w:val="auto"/>
                <w:sz w:val="21"/>
                <w:szCs w:val="21"/>
              </w:rPr>
            </w:pPr>
          </w:p>
        </w:tc>
        <w:tc>
          <w:tcPr>
            <w:tcW w:w="760" w:type="pct"/>
            <w:shd w:val="clear" w:color="auto" w:fill="auto"/>
            <w:vAlign w:val="center"/>
          </w:tcPr>
          <w:p>
            <w:pPr>
              <w:adjustRightInd w:val="0"/>
              <w:snapToGrid w:val="0"/>
              <w:contextualSpacing/>
              <w:jc w:val="center"/>
              <w:rPr>
                <w:color w:val="auto"/>
                <w:sz w:val="21"/>
                <w:szCs w:val="21"/>
              </w:rPr>
            </w:pPr>
          </w:p>
        </w:tc>
        <w:tc>
          <w:tcPr>
            <w:tcW w:w="577" w:type="pct"/>
            <w:shd w:val="clear" w:color="auto" w:fill="auto"/>
            <w:vAlign w:val="center"/>
          </w:tcPr>
          <w:p>
            <w:pPr>
              <w:adjustRightInd w:val="0"/>
              <w:snapToGrid w:val="0"/>
              <w:contextualSpacing/>
              <w:jc w:val="center"/>
              <w:rPr>
                <w:color w:val="auto"/>
                <w:sz w:val="21"/>
                <w:szCs w:val="21"/>
              </w:rPr>
            </w:pPr>
            <w:r>
              <w:rPr>
                <w:color w:val="auto"/>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shd w:val="clear" w:color="auto" w:fill="auto"/>
            <w:vAlign w:val="center"/>
          </w:tcPr>
          <w:p>
            <w:pPr>
              <w:adjustRightInd w:val="0"/>
              <w:snapToGrid w:val="0"/>
              <w:contextualSpacing/>
              <w:jc w:val="center"/>
              <w:rPr>
                <w:color w:val="auto"/>
                <w:sz w:val="21"/>
                <w:szCs w:val="21"/>
              </w:rPr>
            </w:pPr>
          </w:p>
        </w:tc>
        <w:tc>
          <w:tcPr>
            <w:tcW w:w="1308" w:type="pct"/>
            <w:shd w:val="clear" w:color="auto" w:fill="auto"/>
            <w:vAlign w:val="center"/>
          </w:tcPr>
          <w:p>
            <w:pPr>
              <w:adjustRightInd w:val="0"/>
              <w:snapToGrid w:val="0"/>
              <w:contextualSpacing/>
              <w:jc w:val="center"/>
              <w:rPr>
                <w:b/>
                <w:bCs/>
                <w:color w:val="auto"/>
                <w:sz w:val="21"/>
                <w:szCs w:val="21"/>
              </w:rPr>
            </w:pPr>
            <w:r>
              <w:rPr>
                <w:rFonts w:hint="eastAsia"/>
                <w:b/>
                <w:bCs/>
                <w:color w:val="auto"/>
                <w:sz w:val="21"/>
                <w:szCs w:val="21"/>
              </w:rPr>
              <w:t>合计</w:t>
            </w:r>
          </w:p>
        </w:tc>
        <w:tc>
          <w:tcPr>
            <w:tcW w:w="611" w:type="pct"/>
            <w:shd w:val="clear" w:color="auto" w:fill="auto"/>
            <w:vAlign w:val="center"/>
          </w:tcPr>
          <w:p>
            <w:pPr>
              <w:adjustRightInd w:val="0"/>
              <w:snapToGrid w:val="0"/>
              <w:contextualSpacing/>
              <w:jc w:val="center"/>
              <w:rPr>
                <w:b/>
                <w:bCs/>
                <w:color w:val="auto"/>
                <w:sz w:val="21"/>
                <w:szCs w:val="21"/>
              </w:rPr>
            </w:pPr>
          </w:p>
        </w:tc>
        <w:tc>
          <w:tcPr>
            <w:tcW w:w="697" w:type="pct"/>
            <w:shd w:val="clear" w:color="auto" w:fill="auto"/>
            <w:vAlign w:val="center"/>
          </w:tcPr>
          <w:p>
            <w:pPr>
              <w:adjustRightInd w:val="0"/>
              <w:snapToGrid w:val="0"/>
              <w:contextualSpacing/>
              <w:jc w:val="center"/>
              <w:rPr>
                <w:b/>
                <w:bCs/>
                <w:color w:val="auto"/>
                <w:sz w:val="21"/>
                <w:szCs w:val="21"/>
              </w:rPr>
            </w:pPr>
          </w:p>
        </w:tc>
        <w:tc>
          <w:tcPr>
            <w:tcW w:w="610" w:type="pct"/>
            <w:shd w:val="clear" w:color="auto" w:fill="auto"/>
            <w:vAlign w:val="center"/>
          </w:tcPr>
          <w:p>
            <w:pPr>
              <w:adjustRightInd w:val="0"/>
              <w:snapToGrid w:val="0"/>
              <w:contextualSpacing/>
              <w:jc w:val="center"/>
              <w:rPr>
                <w:b/>
                <w:bCs/>
                <w:color w:val="auto"/>
                <w:sz w:val="21"/>
                <w:szCs w:val="21"/>
              </w:rPr>
            </w:pPr>
          </w:p>
        </w:tc>
        <w:tc>
          <w:tcPr>
            <w:tcW w:w="760" w:type="pct"/>
            <w:shd w:val="clear" w:color="auto" w:fill="auto"/>
            <w:vAlign w:val="center"/>
          </w:tcPr>
          <w:p>
            <w:pPr>
              <w:adjustRightInd w:val="0"/>
              <w:snapToGrid w:val="0"/>
              <w:contextualSpacing/>
              <w:jc w:val="center"/>
              <w:rPr>
                <w:b/>
                <w:bCs/>
                <w:color w:val="auto"/>
                <w:sz w:val="21"/>
                <w:szCs w:val="21"/>
              </w:rPr>
            </w:pPr>
          </w:p>
        </w:tc>
        <w:tc>
          <w:tcPr>
            <w:tcW w:w="577" w:type="pct"/>
            <w:shd w:val="clear" w:color="auto" w:fill="auto"/>
            <w:vAlign w:val="center"/>
          </w:tcPr>
          <w:p>
            <w:pPr>
              <w:adjustRightInd w:val="0"/>
              <w:snapToGrid w:val="0"/>
              <w:contextualSpacing/>
              <w:jc w:val="center"/>
              <w:rPr>
                <w:b/>
                <w:bCs/>
                <w:color w:val="auto"/>
                <w:sz w:val="21"/>
                <w:szCs w:val="21"/>
              </w:rPr>
            </w:pPr>
            <w:r>
              <w:rPr>
                <w:b/>
                <w:bCs/>
                <w:color w:val="auto"/>
                <w:sz w:val="21"/>
                <w:szCs w:val="21"/>
              </w:rPr>
              <w:t>13.51</w:t>
            </w:r>
          </w:p>
        </w:tc>
      </w:tr>
    </w:tbl>
    <w:p>
      <w:pPr>
        <w:pStyle w:val="11"/>
        <w:adjustRightInd w:val="0"/>
        <w:snapToGrid w:val="0"/>
        <w:spacing w:after="0" w:line="300" w:lineRule="auto"/>
        <w:contextualSpacing/>
        <w:rPr>
          <w:b/>
          <w:color w:val="auto"/>
          <w:sz w:val="24"/>
        </w:rPr>
      </w:pPr>
    </w:p>
    <w:p>
      <w:pPr>
        <w:pStyle w:val="11"/>
        <w:adjustRightInd w:val="0"/>
        <w:snapToGrid w:val="0"/>
        <w:spacing w:after="0" w:line="300" w:lineRule="auto"/>
        <w:contextualSpacing/>
        <w:jc w:val="center"/>
        <w:rPr>
          <w:b/>
          <w:color w:val="auto"/>
          <w:sz w:val="21"/>
          <w:szCs w:val="21"/>
        </w:rPr>
      </w:pPr>
      <w:r>
        <w:rPr>
          <w:b/>
          <w:color w:val="auto"/>
          <w:sz w:val="21"/>
          <w:szCs w:val="21"/>
        </w:rPr>
        <w:t>表 6.1-5</w:t>
      </w:r>
      <w:r>
        <w:rPr>
          <w:b/>
          <w:color w:val="auto"/>
          <w:sz w:val="21"/>
          <w:szCs w:val="21"/>
        </w:rPr>
        <w:tab/>
      </w:r>
      <w:r>
        <w:rPr>
          <w:b/>
          <w:color w:val="auto"/>
          <w:sz w:val="21"/>
          <w:szCs w:val="21"/>
        </w:rPr>
        <w:t xml:space="preserve">   主体工程已列投资估算表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769"/>
        <w:gridCol w:w="1785"/>
        <w:gridCol w:w="850"/>
        <w:gridCol w:w="992"/>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shd w:val="clear" w:color="auto" w:fill="auto"/>
            <w:vAlign w:val="center"/>
          </w:tcPr>
          <w:p>
            <w:pPr>
              <w:adjustRightInd w:val="0"/>
              <w:snapToGrid w:val="0"/>
              <w:contextualSpacing/>
              <w:jc w:val="center"/>
              <w:rPr>
                <w:color w:val="auto"/>
                <w:sz w:val="21"/>
                <w:szCs w:val="21"/>
              </w:rPr>
            </w:pPr>
            <w:r>
              <w:rPr>
                <w:color w:val="auto"/>
                <w:sz w:val="21"/>
                <w:szCs w:val="21"/>
              </w:rPr>
              <w:t>分区</w:t>
            </w:r>
          </w:p>
        </w:tc>
        <w:tc>
          <w:tcPr>
            <w:tcW w:w="1498" w:type="pct"/>
            <w:gridSpan w:val="2"/>
            <w:shd w:val="clear" w:color="auto" w:fill="auto"/>
            <w:vAlign w:val="center"/>
          </w:tcPr>
          <w:p>
            <w:pPr>
              <w:adjustRightInd w:val="0"/>
              <w:snapToGrid w:val="0"/>
              <w:contextualSpacing/>
              <w:jc w:val="center"/>
              <w:rPr>
                <w:color w:val="auto"/>
                <w:sz w:val="21"/>
                <w:szCs w:val="21"/>
              </w:rPr>
            </w:pPr>
            <w:r>
              <w:rPr>
                <w:color w:val="auto"/>
                <w:sz w:val="21"/>
                <w:szCs w:val="21"/>
              </w:rPr>
              <w:t>水土保持防治措施</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单位</w:t>
            </w:r>
          </w:p>
        </w:tc>
        <w:tc>
          <w:tcPr>
            <w:tcW w:w="582" w:type="pct"/>
            <w:shd w:val="clear" w:color="auto" w:fill="auto"/>
            <w:vAlign w:val="center"/>
          </w:tcPr>
          <w:p>
            <w:pPr>
              <w:adjustRightInd w:val="0"/>
              <w:snapToGrid w:val="0"/>
              <w:contextualSpacing/>
              <w:jc w:val="center"/>
              <w:rPr>
                <w:color w:val="auto"/>
                <w:sz w:val="21"/>
                <w:szCs w:val="21"/>
              </w:rPr>
            </w:pPr>
            <w:r>
              <w:rPr>
                <w:color w:val="auto"/>
                <w:sz w:val="21"/>
                <w:szCs w:val="21"/>
              </w:rPr>
              <w:t>工程量</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单价（元）</w:t>
            </w:r>
          </w:p>
        </w:tc>
        <w:tc>
          <w:tcPr>
            <w:tcW w:w="861" w:type="pct"/>
            <w:vAlign w:val="center"/>
          </w:tcPr>
          <w:p>
            <w:pPr>
              <w:adjustRightInd w:val="0"/>
              <w:snapToGrid w:val="0"/>
              <w:contextualSpacing/>
              <w:jc w:val="center"/>
              <w:rPr>
                <w:color w:val="auto"/>
                <w:sz w:val="21"/>
                <w:szCs w:val="21"/>
              </w:rPr>
            </w:pPr>
            <w:r>
              <w:rPr>
                <w:color w:val="auto"/>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11"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建构筑物区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临时苫盖及拆除</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color w:val="auto"/>
                <w:sz w:val="21"/>
                <w:szCs w:val="21"/>
              </w:rPr>
              <w:t>5200</w:t>
            </w:r>
          </w:p>
        </w:tc>
        <w:tc>
          <w:tcPr>
            <w:tcW w:w="749" w:type="pct"/>
            <w:shd w:val="clear" w:color="auto" w:fill="auto"/>
            <w:vAlign w:val="center"/>
          </w:tcPr>
          <w:p>
            <w:pPr>
              <w:adjustRightInd w:val="0"/>
              <w:snapToGrid w:val="0"/>
              <w:contextualSpacing/>
              <w:jc w:val="center"/>
              <w:rPr>
                <w:color w:val="auto"/>
                <w:sz w:val="21"/>
                <w:szCs w:val="21"/>
              </w:rPr>
            </w:pPr>
            <w:r>
              <w:rPr>
                <w:color w:val="auto"/>
                <w:sz w:val="21"/>
                <w:szCs w:val="21"/>
              </w:rPr>
              <w:t>4.66</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vAlign w:val="center"/>
          </w:tcPr>
          <w:p>
            <w:pPr>
              <w:adjustRightInd w:val="0"/>
              <w:snapToGrid w:val="0"/>
              <w:contextualSpacing/>
              <w:jc w:val="center"/>
              <w:rPr>
                <w:color w:val="auto"/>
                <w:sz w:val="21"/>
                <w:szCs w:val="21"/>
              </w:rPr>
            </w:pPr>
            <w:r>
              <w:rPr>
                <w:rFonts w:hint="eastAsia"/>
                <w:color w:val="auto"/>
                <w:sz w:val="21"/>
                <w:szCs w:val="21"/>
              </w:rPr>
              <w:t>道路地面硬化区</w:t>
            </w:r>
          </w:p>
        </w:tc>
        <w:tc>
          <w:tcPr>
            <w:tcW w:w="451" w:type="pct"/>
            <w:vMerge w:val="restart"/>
            <w:shd w:val="clear" w:color="auto" w:fill="auto"/>
            <w:vAlign w:val="center"/>
          </w:tcPr>
          <w:p>
            <w:pPr>
              <w:adjustRightInd w:val="0"/>
              <w:snapToGrid w:val="0"/>
              <w:contextualSpacing/>
              <w:jc w:val="center"/>
              <w:rPr>
                <w:color w:val="auto"/>
                <w:sz w:val="21"/>
                <w:szCs w:val="21"/>
              </w:rPr>
            </w:pPr>
            <w:r>
              <w:rPr>
                <w:rFonts w:hint="eastAsia"/>
                <w:color w:val="auto"/>
                <w:sz w:val="21"/>
                <w:szCs w:val="21"/>
              </w:rPr>
              <w:t>雨水管网</w:t>
            </w:r>
          </w:p>
        </w:tc>
        <w:tc>
          <w:tcPr>
            <w:tcW w:w="1047"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D</w:t>
            </w:r>
            <w:r>
              <w:rPr>
                <w:color w:val="auto"/>
                <w:sz w:val="21"/>
                <w:szCs w:val="21"/>
              </w:rPr>
              <w:t>1000</w:t>
            </w:r>
            <w:r>
              <w:rPr>
                <w:rFonts w:hint="eastAsia"/>
                <w:color w:val="auto"/>
                <w:sz w:val="21"/>
                <w:szCs w:val="21"/>
              </w:rPr>
              <w:t>混凝土管</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00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451" w:type="pct"/>
            <w:vMerge w:val="continue"/>
            <w:shd w:val="clear" w:color="auto" w:fill="auto"/>
            <w:vAlign w:val="center"/>
          </w:tcPr>
          <w:p>
            <w:pPr>
              <w:adjustRightInd w:val="0"/>
              <w:snapToGrid w:val="0"/>
              <w:contextualSpacing/>
              <w:jc w:val="center"/>
              <w:rPr>
                <w:color w:val="auto"/>
                <w:sz w:val="21"/>
                <w:szCs w:val="21"/>
              </w:rPr>
            </w:pPr>
          </w:p>
        </w:tc>
        <w:tc>
          <w:tcPr>
            <w:tcW w:w="1047"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D</w:t>
            </w:r>
            <w:r>
              <w:rPr>
                <w:color w:val="auto"/>
                <w:sz w:val="21"/>
                <w:szCs w:val="21"/>
              </w:rPr>
              <w:t>1200</w:t>
            </w:r>
            <w:r>
              <w:rPr>
                <w:rFonts w:hint="eastAsia"/>
                <w:color w:val="auto"/>
                <w:sz w:val="21"/>
                <w:szCs w:val="21"/>
              </w:rPr>
              <w:t>混凝土管</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49</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6</w:t>
            </w:r>
            <w:r>
              <w:rPr>
                <w:color w:val="auto"/>
                <w:sz w:val="21"/>
                <w:szCs w:val="21"/>
              </w:rPr>
              <w:t>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8</w:t>
            </w:r>
            <w:r>
              <w:rPr>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451" w:type="pct"/>
            <w:vMerge w:val="continue"/>
            <w:shd w:val="clear" w:color="auto" w:fill="auto"/>
            <w:vAlign w:val="center"/>
          </w:tcPr>
          <w:p>
            <w:pPr>
              <w:adjustRightInd w:val="0"/>
              <w:snapToGrid w:val="0"/>
              <w:contextualSpacing/>
              <w:jc w:val="center"/>
              <w:rPr>
                <w:color w:val="auto"/>
                <w:sz w:val="21"/>
                <w:szCs w:val="21"/>
              </w:rPr>
            </w:pPr>
          </w:p>
        </w:tc>
        <w:tc>
          <w:tcPr>
            <w:tcW w:w="1047"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雨水井</w:t>
            </w:r>
          </w:p>
        </w:tc>
        <w:tc>
          <w:tcPr>
            <w:tcW w:w="49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座</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8</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0</w:t>
            </w:r>
            <w:r>
              <w:rPr>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排水明沟</w:t>
            </w:r>
          </w:p>
        </w:tc>
        <w:tc>
          <w:tcPr>
            <w:tcW w:w="49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m</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60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8</w:t>
            </w:r>
            <w:r>
              <w:rPr>
                <w:color w:val="auto"/>
                <w:sz w:val="21"/>
                <w:szCs w:val="21"/>
              </w:rPr>
              <w:t>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vAlign w:val="center"/>
          </w:tcPr>
          <w:p>
            <w:pPr>
              <w:adjustRightInd w:val="0"/>
              <w:snapToGrid w:val="0"/>
              <w:contextualSpacing/>
              <w:jc w:val="center"/>
              <w:rPr>
                <w:color w:val="auto"/>
                <w:sz w:val="21"/>
                <w:szCs w:val="21"/>
              </w:rPr>
            </w:pPr>
            <w:r>
              <w:rPr>
                <w:rFonts w:hint="eastAsia"/>
                <w:color w:val="auto"/>
                <w:sz w:val="21"/>
                <w:szCs w:val="21"/>
              </w:rPr>
              <w:t>绿化区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.30</w:t>
            </w:r>
          </w:p>
        </w:tc>
        <w:tc>
          <w:tcPr>
            <w:tcW w:w="749" w:type="pct"/>
            <w:shd w:val="clear" w:color="auto" w:fill="auto"/>
            <w:vAlign w:val="center"/>
          </w:tcPr>
          <w:p>
            <w:pPr>
              <w:adjustRightInd w:val="0"/>
              <w:snapToGrid w:val="0"/>
              <w:contextualSpacing/>
              <w:jc w:val="center"/>
              <w:rPr>
                <w:color w:val="auto"/>
                <w:sz w:val="21"/>
                <w:szCs w:val="21"/>
              </w:rPr>
            </w:pPr>
            <w:r>
              <w:rPr>
                <w:color w:val="auto"/>
                <w:sz w:val="21"/>
                <w:szCs w:val="21"/>
              </w:rPr>
              <w:t>100200.00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铺设草坪</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.60</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5</w:t>
            </w:r>
            <w:r>
              <w:rPr>
                <w:color w:val="auto"/>
                <w:sz w:val="21"/>
                <w:szCs w:val="21"/>
              </w:rPr>
              <w:t>3000.00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8</w:t>
            </w:r>
            <w:r>
              <w:rPr>
                <w:color w:val="auto"/>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vAlign w:val="center"/>
          </w:tcPr>
          <w:p>
            <w:pPr>
              <w:adjustRightInd w:val="0"/>
              <w:snapToGrid w:val="0"/>
              <w:contextualSpacing/>
              <w:jc w:val="center"/>
              <w:rPr>
                <w:color w:val="auto"/>
                <w:sz w:val="21"/>
                <w:szCs w:val="21"/>
              </w:rPr>
            </w:pPr>
            <w:r>
              <w:rPr>
                <w:color w:val="auto"/>
                <w:sz w:val="21"/>
                <w:szCs w:val="21"/>
              </w:rPr>
              <w:t>工业园区管网区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749" w:type="pct"/>
            <w:shd w:val="clear" w:color="auto" w:fill="auto"/>
            <w:vAlign w:val="center"/>
          </w:tcPr>
          <w:p>
            <w:pPr>
              <w:adjustRightInd w:val="0"/>
              <w:snapToGrid w:val="0"/>
              <w:contextualSpacing/>
              <w:jc w:val="center"/>
              <w:rPr>
                <w:color w:val="auto"/>
                <w:sz w:val="21"/>
                <w:szCs w:val="21"/>
              </w:rPr>
            </w:pPr>
            <w:r>
              <w:rPr>
                <w:color w:val="auto"/>
                <w:sz w:val="21"/>
                <w:szCs w:val="21"/>
              </w:rPr>
              <w:t>100200.00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撒播草籽</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.19</w:t>
            </w:r>
          </w:p>
        </w:tc>
        <w:tc>
          <w:tcPr>
            <w:tcW w:w="749"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1300.00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2</w:t>
            </w:r>
            <w:r>
              <w:rPr>
                <w:color w:val="auto"/>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continue"/>
            <w:vAlign w:val="center"/>
          </w:tcPr>
          <w:p>
            <w:pPr>
              <w:adjustRightInd w:val="0"/>
              <w:snapToGrid w:val="0"/>
              <w:contextualSpacing/>
              <w:jc w:val="center"/>
              <w:rPr>
                <w:color w:val="auto"/>
                <w:sz w:val="21"/>
                <w:szCs w:val="21"/>
              </w:rPr>
            </w:pP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临时苫盖及拆除</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color w:val="auto"/>
                <w:sz w:val="21"/>
                <w:szCs w:val="21"/>
              </w:rPr>
              <w:t>38600</w:t>
            </w:r>
          </w:p>
        </w:tc>
        <w:tc>
          <w:tcPr>
            <w:tcW w:w="749" w:type="pct"/>
            <w:shd w:val="clear" w:color="auto" w:fill="auto"/>
            <w:vAlign w:val="center"/>
          </w:tcPr>
          <w:p>
            <w:pPr>
              <w:adjustRightInd w:val="0"/>
              <w:snapToGrid w:val="0"/>
              <w:contextualSpacing/>
              <w:jc w:val="center"/>
              <w:rPr>
                <w:color w:val="auto"/>
                <w:sz w:val="21"/>
                <w:szCs w:val="21"/>
              </w:rPr>
            </w:pPr>
            <w:r>
              <w:rPr>
                <w:color w:val="auto"/>
                <w:sz w:val="21"/>
                <w:szCs w:val="21"/>
              </w:rPr>
              <w:t>4.66</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Align w:val="center"/>
          </w:tcPr>
          <w:p>
            <w:pPr>
              <w:adjustRightInd w:val="0"/>
              <w:snapToGrid w:val="0"/>
              <w:contextualSpacing/>
              <w:jc w:val="center"/>
              <w:rPr>
                <w:color w:val="auto"/>
                <w:sz w:val="21"/>
                <w:szCs w:val="21"/>
              </w:rPr>
            </w:pPr>
            <w:r>
              <w:rPr>
                <w:color w:val="auto"/>
                <w:sz w:val="21"/>
                <w:szCs w:val="21"/>
              </w:rPr>
              <w:t>施工生产区</w:t>
            </w:r>
          </w:p>
        </w:tc>
        <w:tc>
          <w:tcPr>
            <w:tcW w:w="1498" w:type="pct"/>
            <w:gridSpan w:val="2"/>
            <w:shd w:val="clear" w:color="auto" w:fill="auto"/>
            <w:vAlign w:val="center"/>
          </w:tcPr>
          <w:p>
            <w:pPr>
              <w:adjustRightInd w:val="0"/>
              <w:snapToGrid w:val="0"/>
              <w:contextualSpacing/>
              <w:jc w:val="center"/>
              <w:rPr>
                <w:color w:val="auto"/>
                <w:sz w:val="21"/>
                <w:szCs w:val="21"/>
              </w:rPr>
            </w:pPr>
            <w:r>
              <w:rPr>
                <w:rFonts w:hint="eastAsia"/>
                <w:color w:val="auto"/>
                <w:sz w:val="21"/>
                <w:szCs w:val="21"/>
              </w:rPr>
              <w:t>全面整地</w:t>
            </w:r>
          </w:p>
        </w:tc>
        <w:tc>
          <w:tcPr>
            <w:tcW w:w="499" w:type="pct"/>
            <w:shd w:val="clear" w:color="auto" w:fill="auto"/>
            <w:vAlign w:val="center"/>
          </w:tcPr>
          <w:p>
            <w:pPr>
              <w:adjustRightInd w:val="0"/>
              <w:snapToGrid w:val="0"/>
              <w:contextualSpacing/>
              <w:jc w:val="center"/>
              <w:rPr>
                <w:color w:val="auto"/>
                <w:sz w:val="21"/>
                <w:szCs w:val="21"/>
              </w:rPr>
            </w:pPr>
            <w:r>
              <w:rPr>
                <w:color w:val="auto"/>
                <w:sz w:val="21"/>
                <w:szCs w:val="21"/>
              </w:rPr>
              <w:t>hm</w:t>
            </w:r>
            <w:r>
              <w:rPr>
                <w:color w:val="auto"/>
                <w:sz w:val="21"/>
                <w:szCs w:val="21"/>
                <w:vertAlign w:val="superscript"/>
              </w:rPr>
              <w:t>2</w:t>
            </w:r>
          </w:p>
        </w:tc>
        <w:tc>
          <w:tcPr>
            <w:tcW w:w="582" w:type="pct"/>
            <w:shd w:val="clear" w:color="auto" w:fill="auto"/>
            <w:vAlign w:val="center"/>
          </w:tcPr>
          <w:p>
            <w:pPr>
              <w:adjustRightInd w:val="0"/>
              <w:snapToGrid w:val="0"/>
              <w:contextualSpacing/>
              <w:jc w:val="center"/>
              <w:rPr>
                <w:color w:val="auto"/>
                <w:sz w:val="21"/>
                <w:szCs w:val="21"/>
              </w:rPr>
            </w:pPr>
            <w:r>
              <w:rPr>
                <w:rFonts w:hint="eastAsia"/>
                <w:color w:val="auto"/>
                <w:sz w:val="21"/>
                <w:szCs w:val="21"/>
              </w:rPr>
              <w:t>0</w:t>
            </w:r>
            <w:r>
              <w:rPr>
                <w:color w:val="auto"/>
                <w:sz w:val="21"/>
                <w:szCs w:val="21"/>
              </w:rPr>
              <w:t>.10</w:t>
            </w:r>
          </w:p>
        </w:tc>
        <w:tc>
          <w:tcPr>
            <w:tcW w:w="749" w:type="pct"/>
            <w:shd w:val="clear" w:color="auto" w:fill="auto"/>
            <w:vAlign w:val="center"/>
          </w:tcPr>
          <w:p>
            <w:pPr>
              <w:adjustRightInd w:val="0"/>
              <w:snapToGrid w:val="0"/>
              <w:contextualSpacing/>
              <w:jc w:val="center"/>
              <w:rPr>
                <w:color w:val="auto"/>
                <w:sz w:val="21"/>
                <w:szCs w:val="21"/>
              </w:rPr>
            </w:pPr>
            <w:r>
              <w:rPr>
                <w:color w:val="auto"/>
                <w:sz w:val="21"/>
                <w:szCs w:val="21"/>
              </w:rPr>
              <w:t>100200.00</w:t>
            </w:r>
          </w:p>
        </w:tc>
        <w:tc>
          <w:tcPr>
            <w:tcW w:w="861" w:type="pct"/>
            <w:vAlign w:val="center"/>
          </w:tcPr>
          <w:p>
            <w:pPr>
              <w:adjustRightInd w:val="0"/>
              <w:snapToGrid w:val="0"/>
              <w:contextualSpacing/>
              <w:jc w:val="center"/>
              <w:rPr>
                <w:color w:val="auto"/>
                <w:sz w:val="21"/>
                <w:szCs w:val="21"/>
              </w:rPr>
            </w:pPr>
            <w:r>
              <w:rPr>
                <w:rFonts w:hint="eastAsia"/>
                <w:color w:val="auto"/>
                <w:sz w:val="21"/>
                <w:szCs w:val="21"/>
              </w:rPr>
              <w:t>1</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0" w:type="pct"/>
            <w:gridSpan w:val="5"/>
            <w:shd w:val="clear" w:color="auto" w:fill="auto"/>
            <w:vAlign w:val="center"/>
          </w:tcPr>
          <w:p>
            <w:pPr>
              <w:adjustRightInd w:val="0"/>
              <w:snapToGrid w:val="0"/>
              <w:contextualSpacing/>
              <w:jc w:val="center"/>
              <w:rPr>
                <w:b/>
                <w:bCs/>
                <w:color w:val="auto"/>
                <w:sz w:val="21"/>
                <w:szCs w:val="21"/>
              </w:rPr>
            </w:pPr>
            <w:r>
              <w:rPr>
                <w:b/>
                <w:bCs/>
                <w:color w:val="auto"/>
                <w:sz w:val="21"/>
                <w:szCs w:val="21"/>
              </w:rPr>
              <w:t>合计</w:t>
            </w:r>
          </w:p>
        </w:tc>
        <w:tc>
          <w:tcPr>
            <w:tcW w:w="749" w:type="pct"/>
            <w:shd w:val="clear" w:color="auto" w:fill="auto"/>
            <w:vAlign w:val="center"/>
          </w:tcPr>
          <w:p>
            <w:pPr>
              <w:adjustRightInd w:val="0"/>
              <w:snapToGrid w:val="0"/>
              <w:contextualSpacing/>
              <w:jc w:val="center"/>
              <w:rPr>
                <w:b/>
                <w:bCs/>
                <w:color w:val="auto"/>
                <w:sz w:val="21"/>
                <w:szCs w:val="21"/>
              </w:rPr>
            </w:pPr>
          </w:p>
        </w:tc>
        <w:tc>
          <w:tcPr>
            <w:tcW w:w="861" w:type="pct"/>
            <w:vAlign w:val="center"/>
          </w:tcPr>
          <w:p>
            <w:pPr>
              <w:adjustRightInd w:val="0"/>
              <w:snapToGrid w:val="0"/>
              <w:contextualSpacing/>
              <w:jc w:val="center"/>
              <w:rPr>
                <w:b/>
                <w:bCs/>
                <w:color w:val="auto"/>
                <w:sz w:val="21"/>
                <w:szCs w:val="21"/>
              </w:rPr>
            </w:pPr>
            <w:r>
              <w:rPr>
                <w:rFonts w:hint="eastAsia"/>
                <w:b/>
                <w:bCs/>
                <w:color w:val="auto"/>
                <w:sz w:val="21"/>
                <w:szCs w:val="21"/>
              </w:rPr>
              <w:t>9</w:t>
            </w:r>
            <w:r>
              <w:rPr>
                <w:b/>
                <w:bCs/>
                <w:color w:val="auto"/>
                <w:sz w:val="21"/>
                <w:szCs w:val="21"/>
              </w:rPr>
              <w:t>3.02</w:t>
            </w:r>
          </w:p>
        </w:tc>
      </w:tr>
    </w:tbl>
    <w:p>
      <w:pPr>
        <w:pStyle w:val="11"/>
        <w:adjustRightInd w:val="0"/>
        <w:snapToGrid w:val="0"/>
        <w:spacing w:after="0" w:line="300" w:lineRule="auto"/>
        <w:contextualSpacing/>
        <w:rPr>
          <w:rFonts w:hint="eastAsia"/>
          <w:b/>
          <w:color w:val="auto"/>
          <w:sz w:val="21"/>
          <w:szCs w:val="21"/>
        </w:rPr>
      </w:pPr>
    </w:p>
    <w:p>
      <w:pPr>
        <w:pStyle w:val="11"/>
        <w:adjustRightInd w:val="0"/>
        <w:snapToGrid w:val="0"/>
        <w:spacing w:after="0" w:line="300" w:lineRule="auto"/>
        <w:contextualSpacing/>
        <w:jc w:val="center"/>
        <w:rPr>
          <w:b/>
          <w:color w:val="auto"/>
          <w:sz w:val="21"/>
          <w:szCs w:val="21"/>
        </w:rPr>
      </w:pPr>
      <w:r>
        <w:rPr>
          <w:b/>
          <w:color w:val="auto"/>
          <w:sz w:val="21"/>
          <w:szCs w:val="21"/>
        </w:rPr>
        <w:t>表6.1-6   独立费用估算表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740"/>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shd w:val="clear" w:color="auto" w:fill="auto"/>
            <w:vAlign w:val="center"/>
          </w:tcPr>
          <w:p>
            <w:pPr>
              <w:widowControl/>
              <w:contextualSpacing/>
              <w:jc w:val="center"/>
              <w:rPr>
                <w:color w:val="auto"/>
                <w:kern w:val="0"/>
                <w:sz w:val="21"/>
                <w:szCs w:val="21"/>
              </w:rPr>
            </w:pPr>
            <w:r>
              <w:rPr>
                <w:color w:val="auto"/>
                <w:kern w:val="0"/>
                <w:sz w:val="21"/>
                <w:szCs w:val="21"/>
              </w:rPr>
              <w:t>序号</w:t>
            </w:r>
          </w:p>
        </w:tc>
        <w:tc>
          <w:tcPr>
            <w:tcW w:w="1021" w:type="pct"/>
            <w:shd w:val="clear" w:color="auto" w:fill="auto"/>
            <w:vAlign w:val="center"/>
          </w:tcPr>
          <w:p>
            <w:pPr>
              <w:widowControl/>
              <w:contextualSpacing/>
              <w:jc w:val="center"/>
              <w:rPr>
                <w:color w:val="auto"/>
                <w:kern w:val="0"/>
                <w:sz w:val="21"/>
                <w:szCs w:val="21"/>
              </w:rPr>
            </w:pPr>
            <w:r>
              <w:rPr>
                <w:color w:val="auto"/>
                <w:kern w:val="0"/>
                <w:sz w:val="21"/>
                <w:szCs w:val="21"/>
              </w:rPr>
              <w:t>工程或费用名称</w:t>
            </w:r>
          </w:p>
        </w:tc>
        <w:tc>
          <w:tcPr>
            <w:tcW w:w="833" w:type="pct"/>
            <w:shd w:val="clear" w:color="auto" w:fill="auto"/>
            <w:vAlign w:val="center"/>
          </w:tcPr>
          <w:p>
            <w:pPr>
              <w:widowControl/>
              <w:contextualSpacing/>
              <w:jc w:val="center"/>
              <w:rPr>
                <w:color w:val="auto"/>
                <w:kern w:val="0"/>
                <w:sz w:val="21"/>
                <w:szCs w:val="21"/>
              </w:rPr>
            </w:pPr>
            <w:r>
              <w:rPr>
                <w:color w:val="auto"/>
                <w:kern w:val="0"/>
                <w:sz w:val="21"/>
                <w:szCs w:val="21"/>
              </w:rPr>
              <w:t>单位</w:t>
            </w:r>
          </w:p>
        </w:tc>
        <w:tc>
          <w:tcPr>
            <w:tcW w:w="833" w:type="pct"/>
            <w:shd w:val="clear" w:color="auto" w:fill="auto"/>
            <w:vAlign w:val="center"/>
          </w:tcPr>
          <w:p>
            <w:pPr>
              <w:widowControl/>
              <w:contextualSpacing/>
              <w:jc w:val="center"/>
              <w:rPr>
                <w:color w:val="auto"/>
                <w:kern w:val="0"/>
                <w:sz w:val="21"/>
                <w:szCs w:val="21"/>
              </w:rPr>
            </w:pPr>
            <w:r>
              <w:rPr>
                <w:color w:val="auto"/>
                <w:kern w:val="0"/>
                <w:sz w:val="21"/>
                <w:szCs w:val="21"/>
              </w:rPr>
              <w:t>数量</w:t>
            </w:r>
          </w:p>
        </w:tc>
        <w:tc>
          <w:tcPr>
            <w:tcW w:w="833" w:type="pct"/>
            <w:shd w:val="clear" w:color="auto" w:fill="auto"/>
            <w:vAlign w:val="center"/>
          </w:tcPr>
          <w:p>
            <w:pPr>
              <w:widowControl/>
              <w:contextualSpacing/>
              <w:jc w:val="left"/>
              <w:rPr>
                <w:color w:val="auto"/>
                <w:kern w:val="0"/>
                <w:sz w:val="21"/>
                <w:szCs w:val="21"/>
              </w:rPr>
            </w:pPr>
            <w:r>
              <w:rPr>
                <w:color w:val="auto"/>
                <w:kern w:val="0"/>
                <w:sz w:val="21"/>
                <w:szCs w:val="21"/>
              </w:rPr>
              <w:t>单价（元）</w:t>
            </w:r>
          </w:p>
        </w:tc>
        <w:tc>
          <w:tcPr>
            <w:tcW w:w="833" w:type="pct"/>
            <w:shd w:val="clear" w:color="auto" w:fill="auto"/>
            <w:vAlign w:val="center"/>
          </w:tcPr>
          <w:p>
            <w:pPr>
              <w:widowControl/>
              <w:contextualSpacing/>
              <w:jc w:val="center"/>
              <w:rPr>
                <w:color w:val="auto"/>
                <w:kern w:val="0"/>
                <w:sz w:val="21"/>
                <w:szCs w:val="21"/>
              </w:rPr>
            </w:pPr>
            <w:r>
              <w:rPr>
                <w:color w:val="auto"/>
                <w:kern w:val="0"/>
                <w:sz w:val="21"/>
                <w:szCs w:val="21"/>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gridSpan w:val="2"/>
            <w:shd w:val="clear" w:color="auto" w:fill="auto"/>
            <w:vAlign w:val="center"/>
          </w:tcPr>
          <w:p>
            <w:pPr>
              <w:widowControl/>
              <w:contextualSpacing/>
              <w:jc w:val="center"/>
              <w:rPr>
                <w:color w:val="auto"/>
                <w:kern w:val="0"/>
                <w:sz w:val="21"/>
                <w:szCs w:val="21"/>
              </w:rPr>
            </w:pPr>
            <w:r>
              <w:rPr>
                <w:color w:val="auto"/>
                <w:kern w:val="0"/>
                <w:sz w:val="21"/>
                <w:szCs w:val="21"/>
              </w:rPr>
              <w:t>独立费用</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shd w:val="clear" w:color="auto" w:fill="auto"/>
            <w:vAlign w:val="center"/>
          </w:tcPr>
          <w:p>
            <w:pPr>
              <w:widowControl/>
              <w:contextualSpacing/>
              <w:jc w:val="center"/>
              <w:rPr>
                <w:color w:val="auto"/>
                <w:kern w:val="0"/>
                <w:sz w:val="21"/>
                <w:szCs w:val="21"/>
              </w:rPr>
            </w:pPr>
            <w:r>
              <w:rPr>
                <w:color w:val="auto"/>
                <w:kern w:val="0"/>
                <w:sz w:val="21"/>
                <w:szCs w:val="21"/>
              </w:rPr>
              <w:t>（一）</w:t>
            </w:r>
          </w:p>
        </w:tc>
        <w:tc>
          <w:tcPr>
            <w:tcW w:w="1021" w:type="pct"/>
            <w:shd w:val="clear" w:color="auto" w:fill="auto"/>
            <w:vAlign w:val="center"/>
          </w:tcPr>
          <w:p>
            <w:pPr>
              <w:widowControl/>
              <w:contextualSpacing/>
              <w:jc w:val="center"/>
              <w:rPr>
                <w:color w:val="auto"/>
                <w:kern w:val="0"/>
                <w:sz w:val="21"/>
                <w:szCs w:val="21"/>
              </w:rPr>
            </w:pPr>
            <w:r>
              <w:rPr>
                <w:color w:val="auto"/>
                <w:kern w:val="0"/>
                <w:sz w:val="21"/>
                <w:szCs w:val="21"/>
              </w:rPr>
              <w:t>建设管理费</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2</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shd w:val="clear" w:color="auto" w:fill="auto"/>
            <w:vAlign w:val="center"/>
          </w:tcPr>
          <w:p>
            <w:pPr>
              <w:widowControl/>
              <w:contextualSpacing/>
              <w:jc w:val="center"/>
              <w:rPr>
                <w:color w:val="auto"/>
                <w:kern w:val="0"/>
                <w:sz w:val="21"/>
                <w:szCs w:val="21"/>
              </w:rPr>
            </w:pPr>
            <w:r>
              <w:rPr>
                <w:color w:val="auto"/>
                <w:kern w:val="0"/>
                <w:sz w:val="21"/>
                <w:szCs w:val="21"/>
              </w:rPr>
              <w:t>（二）</w:t>
            </w:r>
          </w:p>
        </w:tc>
        <w:tc>
          <w:tcPr>
            <w:tcW w:w="1021" w:type="pct"/>
            <w:shd w:val="clear" w:color="auto" w:fill="auto"/>
            <w:vAlign w:val="center"/>
          </w:tcPr>
          <w:p>
            <w:pPr>
              <w:widowControl/>
              <w:contextualSpacing/>
              <w:jc w:val="center"/>
              <w:rPr>
                <w:color w:val="auto"/>
                <w:kern w:val="0"/>
                <w:sz w:val="21"/>
                <w:szCs w:val="21"/>
              </w:rPr>
            </w:pPr>
            <w:r>
              <w:rPr>
                <w:color w:val="auto"/>
                <w:kern w:val="0"/>
                <w:sz w:val="21"/>
                <w:szCs w:val="21"/>
              </w:rPr>
              <w:t>科研勘测设计费</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shd w:val="clear" w:color="auto" w:fill="auto"/>
            <w:vAlign w:val="center"/>
          </w:tcPr>
          <w:p>
            <w:pPr>
              <w:widowControl/>
              <w:contextualSpacing/>
              <w:jc w:val="center"/>
              <w:rPr>
                <w:color w:val="auto"/>
                <w:kern w:val="0"/>
                <w:sz w:val="21"/>
                <w:szCs w:val="21"/>
              </w:rPr>
            </w:pPr>
            <w:r>
              <w:rPr>
                <w:color w:val="auto"/>
                <w:kern w:val="0"/>
                <w:sz w:val="21"/>
                <w:szCs w:val="21"/>
              </w:rPr>
              <w:t>（三）</w:t>
            </w:r>
          </w:p>
        </w:tc>
        <w:tc>
          <w:tcPr>
            <w:tcW w:w="1021" w:type="pct"/>
            <w:shd w:val="clear" w:color="auto" w:fill="auto"/>
            <w:vAlign w:val="center"/>
          </w:tcPr>
          <w:p>
            <w:pPr>
              <w:widowControl/>
              <w:contextualSpacing/>
              <w:jc w:val="center"/>
              <w:rPr>
                <w:color w:val="auto"/>
                <w:kern w:val="0"/>
                <w:sz w:val="21"/>
                <w:szCs w:val="21"/>
              </w:rPr>
            </w:pPr>
            <w:r>
              <w:rPr>
                <w:color w:val="auto"/>
                <w:kern w:val="0"/>
                <w:sz w:val="21"/>
                <w:szCs w:val="21"/>
              </w:rPr>
              <w:t>水土保持监理费</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shd w:val="clear" w:color="auto" w:fill="auto"/>
            <w:vAlign w:val="center"/>
          </w:tcPr>
          <w:p>
            <w:pPr>
              <w:widowControl/>
              <w:contextualSpacing/>
              <w:jc w:val="center"/>
              <w:rPr>
                <w:color w:val="auto"/>
                <w:kern w:val="0"/>
                <w:sz w:val="21"/>
                <w:szCs w:val="21"/>
              </w:rPr>
            </w:pPr>
            <w:r>
              <w:rPr>
                <w:color w:val="auto"/>
                <w:kern w:val="0"/>
                <w:sz w:val="21"/>
                <w:szCs w:val="21"/>
              </w:rPr>
              <w:t>（四）</w:t>
            </w:r>
          </w:p>
        </w:tc>
        <w:tc>
          <w:tcPr>
            <w:tcW w:w="1021" w:type="pct"/>
            <w:shd w:val="clear" w:color="auto" w:fill="auto"/>
            <w:vAlign w:val="center"/>
          </w:tcPr>
          <w:p>
            <w:pPr>
              <w:widowControl/>
              <w:contextualSpacing/>
              <w:jc w:val="center"/>
              <w:rPr>
                <w:color w:val="auto"/>
                <w:kern w:val="0"/>
                <w:sz w:val="21"/>
                <w:szCs w:val="21"/>
              </w:rPr>
            </w:pPr>
            <w:r>
              <w:rPr>
                <w:color w:val="auto"/>
                <w:kern w:val="0"/>
                <w:sz w:val="21"/>
                <w:szCs w:val="21"/>
              </w:rPr>
              <w:t>水土保持验收费</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left"/>
              <w:rPr>
                <w:rFonts w:eastAsia="宋体"/>
                <w:color w:val="auto"/>
                <w:kern w:val="0"/>
                <w:sz w:val="20"/>
                <w:szCs w:val="20"/>
              </w:rPr>
            </w:pPr>
            <w:r>
              <w:rPr>
                <w:rFonts w:eastAsia="宋体"/>
                <w:color w:val="auto"/>
                <w:kern w:val="0"/>
                <w:sz w:val="20"/>
                <w:szCs w:val="20"/>
              </w:rPr>
              <w:t>　</w:t>
            </w:r>
          </w:p>
        </w:tc>
        <w:tc>
          <w:tcPr>
            <w:tcW w:w="833" w:type="pct"/>
            <w:shd w:val="clear" w:color="auto" w:fill="auto"/>
            <w:vAlign w:val="center"/>
          </w:tcPr>
          <w:p>
            <w:pPr>
              <w:widowControl/>
              <w:contextualSpacing/>
              <w:jc w:val="center"/>
              <w:rPr>
                <w:rFonts w:eastAsia="宋体"/>
                <w:color w:val="auto"/>
                <w:kern w:val="0"/>
                <w:sz w:val="21"/>
                <w:szCs w:val="21"/>
              </w:rPr>
            </w:pPr>
            <w:r>
              <w:rPr>
                <w:rFonts w:eastAsia="宋体"/>
                <w:color w:val="auto"/>
                <w:kern w:val="0"/>
                <w:sz w:val="21"/>
                <w:szCs w:val="21"/>
              </w:rPr>
              <w:t xml:space="preserve">3.00 </w:t>
            </w:r>
          </w:p>
        </w:tc>
      </w:tr>
    </w:tbl>
    <w:p>
      <w:pPr>
        <w:widowControl/>
        <w:adjustRightInd w:val="0"/>
        <w:snapToGrid w:val="0"/>
        <w:spacing w:line="300" w:lineRule="auto"/>
        <w:ind w:firstLine="482" w:firstLineChars="200"/>
        <w:contextualSpacing/>
        <w:jc w:val="center"/>
        <w:rPr>
          <w:b/>
          <w:color w:val="auto"/>
          <w:kern w:val="0"/>
          <w:sz w:val="24"/>
        </w:rPr>
      </w:pPr>
    </w:p>
    <w:p>
      <w:pPr>
        <w:widowControl/>
        <w:adjustRightInd w:val="0"/>
        <w:snapToGrid w:val="0"/>
        <w:spacing w:line="300" w:lineRule="auto"/>
        <w:ind w:firstLine="422" w:firstLineChars="200"/>
        <w:contextualSpacing/>
        <w:jc w:val="center"/>
        <w:rPr>
          <w:b/>
          <w:color w:val="auto"/>
          <w:kern w:val="0"/>
          <w:sz w:val="24"/>
        </w:rPr>
      </w:pPr>
      <w:r>
        <w:rPr>
          <w:b/>
          <w:color w:val="auto"/>
          <w:sz w:val="21"/>
          <w:szCs w:val="21"/>
        </w:rPr>
        <w:t xml:space="preserve">表6.1-7   </w:t>
      </w:r>
      <w:r>
        <w:rPr>
          <w:rFonts w:hint="eastAsia"/>
          <w:b/>
          <w:color w:val="auto"/>
          <w:sz w:val="21"/>
          <w:szCs w:val="21"/>
        </w:rPr>
        <w:t>材料单价</w:t>
      </w:r>
    </w:p>
    <w:tbl>
      <w:tblPr>
        <w:tblStyle w:val="103"/>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607"/>
        <w:gridCol w:w="788"/>
        <w:gridCol w:w="941"/>
        <w:gridCol w:w="954"/>
        <w:gridCol w:w="1428"/>
        <w:gridCol w:w="954"/>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716" w:type="dxa"/>
            <w:vMerge w:val="restart"/>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序号</w:t>
            </w:r>
          </w:p>
        </w:tc>
        <w:tc>
          <w:tcPr>
            <w:tcW w:w="1607" w:type="dxa"/>
            <w:vMerge w:val="restart"/>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材料名称及规格</w:t>
            </w:r>
          </w:p>
        </w:tc>
        <w:tc>
          <w:tcPr>
            <w:tcW w:w="788" w:type="dxa"/>
            <w:vMerge w:val="restart"/>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单位</w:t>
            </w:r>
          </w:p>
        </w:tc>
        <w:tc>
          <w:tcPr>
            <w:tcW w:w="5475" w:type="dxa"/>
            <w:gridSpan w:val="5"/>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716" w:type="dxa"/>
            <w:vMerge w:val="continue"/>
            <w:vAlign w:val="center"/>
          </w:tcPr>
          <w:p>
            <w:pPr>
              <w:widowControl/>
              <w:autoSpaceDE/>
              <w:autoSpaceDN/>
              <w:contextualSpacing/>
              <w:jc w:val="center"/>
              <w:rPr>
                <w:rFonts w:ascii="Times New Roman" w:hAnsi="Times New Roman"/>
                <w:color w:val="auto"/>
                <w:kern w:val="0"/>
                <w:sz w:val="21"/>
                <w:szCs w:val="21"/>
                <w:lang w:eastAsia="en-US"/>
              </w:rPr>
            </w:pPr>
          </w:p>
        </w:tc>
        <w:tc>
          <w:tcPr>
            <w:tcW w:w="1607" w:type="dxa"/>
            <w:vMerge w:val="continue"/>
            <w:vAlign w:val="center"/>
          </w:tcPr>
          <w:p>
            <w:pPr>
              <w:widowControl/>
              <w:autoSpaceDE/>
              <w:autoSpaceDN/>
              <w:contextualSpacing/>
              <w:jc w:val="center"/>
              <w:rPr>
                <w:rFonts w:ascii="Times New Roman" w:hAnsi="Times New Roman"/>
                <w:color w:val="auto"/>
                <w:kern w:val="0"/>
                <w:sz w:val="21"/>
                <w:szCs w:val="21"/>
                <w:lang w:eastAsia="en-US"/>
              </w:rPr>
            </w:pPr>
          </w:p>
        </w:tc>
        <w:tc>
          <w:tcPr>
            <w:tcW w:w="788" w:type="dxa"/>
            <w:vMerge w:val="continue"/>
            <w:vAlign w:val="center"/>
          </w:tcPr>
          <w:p>
            <w:pPr>
              <w:widowControl/>
              <w:autoSpaceDE/>
              <w:autoSpaceDN/>
              <w:contextualSpacing/>
              <w:jc w:val="center"/>
              <w:rPr>
                <w:rFonts w:ascii="Times New Roman" w:hAnsi="Times New Roman"/>
                <w:color w:val="auto"/>
                <w:kern w:val="0"/>
                <w:sz w:val="21"/>
                <w:szCs w:val="21"/>
                <w:lang w:eastAsia="en-US"/>
              </w:rPr>
            </w:pPr>
          </w:p>
        </w:tc>
        <w:tc>
          <w:tcPr>
            <w:tcW w:w="941" w:type="dxa"/>
            <w:vAlign w:val="center"/>
          </w:tcPr>
          <w:p>
            <w:pPr>
              <w:pStyle w:val="106"/>
              <w:widowControl/>
              <w:autoSpaceDE/>
              <w:autoSpaceDN/>
              <w:spacing w:before="21"/>
              <w:ind w:right="258"/>
              <w:contextualSpacing/>
              <w:rPr>
                <w:rFonts w:ascii="Times New Roman" w:hAnsi="Times New Roman" w:eastAsia="仿宋_GB2312"/>
                <w:color w:val="auto"/>
                <w:sz w:val="21"/>
                <w:szCs w:val="21"/>
                <w:lang w:eastAsia="zh-CN"/>
              </w:rPr>
            </w:pPr>
            <w:r>
              <w:rPr>
                <w:rFonts w:hint="eastAsia" w:ascii="Times New Roman" w:hAnsi="Times New Roman" w:eastAsia="仿宋_GB2312"/>
                <w:color w:val="auto"/>
                <w:sz w:val="21"/>
                <w:szCs w:val="21"/>
                <w:lang w:eastAsia="zh-CN"/>
              </w:rPr>
              <w:t xml:space="preserve"> </w:t>
            </w:r>
            <w:r>
              <w:rPr>
                <w:rFonts w:ascii="Times New Roman" w:hAnsi="Times New Roman" w:eastAsia="仿宋_GB2312"/>
                <w:color w:val="auto"/>
                <w:sz w:val="21"/>
                <w:szCs w:val="21"/>
                <w:lang w:eastAsia="zh-CN"/>
              </w:rPr>
              <w:t xml:space="preserve"> 原价</w:t>
            </w:r>
          </w:p>
        </w:tc>
        <w:tc>
          <w:tcPr>
            <w:tcW w:w="954" w:type="dxa"/>
            <w:vAlign w:val="center"/>
          </w:tcPr>
          <w:p>
            <w:pPr>
              <w:pStyle w:val="106"/>
              <w:widowControl/>
              <w:autoSpaceDE/>
              <w:autoSpaceDN/>
              <w:spacing w:before="21"/>
              <w:ind w:right="161"/>
              <w:contextualSpacing/>
              <w:rPr>
                <w:rFonts w:ascii="Times New Roman" w:hAnsi="Times New Roman" w:eastAsia="仿宋_GB2312"/>
                <w:color w:val="auto"/>
                <w:sz w:val="21"/>
                <w:szCs w:val="21"/>
                <w:lang w:eastAsia="zh-CN"/>
              </w:rPr>
            </w:pPr>
            <w:r>
              <w:rPr>
                <w:rFonts w:ascii="Times New Roman" w:hAnsi="Times New Roman" w:eastAsia="仿宋_GB2312"/>
                <w:color w:val="auto"/>
                <w:sz w:val="21"/>
                <w:szCs w:val="21"/>
                <w:lang w:eastAsia="zh-CN"/>
              </w:rPr>
              <w:t>运杂费</w:t>
            </w:r>
          </w:p>
        </w:tc>
        <w:tc>
          <w:tcPr>
            <w:tcW w:w="1428" w:type="dxa"/>
            <w:vAlign w:val="center"/>
          </w:tcPr>
          <w:p>
            <w:pPr>
              <w:pStyle w:val="106"/>
              <w:widowControl/>
              <w:autoSpaceDE/>
              <w:autoSpaceDN/>
              <w:spacing w:before="21"/>
              <w:ind w:right="205"/>
              <w:contextualSpacing/>
              <w:rPr>
                <w:rFonts w:ascii="Times New Roman" w:hAnsi="Times New Roman" w:eastAsia="仿宋_GB2312"/>
                <w:color w:val="auto"/>
                <w:sz w:val="21"/>
                <w:szCs w:val="21"/>
                <w:lang w:eastAsia="zh-CN"/>
              </w:rPr>
            </w:pPr>
            <w:r>
              <w:rPr>
                <w:rFonts w:hint="eastAsia" w:ascii="Times New Roman" w:hAnsi="Times New Roman" w:eastAsia="仿宋_GB2312"/>
                <w:color w:val="auto"/>
                <w:sz w:val="21"/>
                <w:szCs w:val="21"/>
                <w:lang w:eastAsia="zh-CN"/>
              </w:rPr>
              <w:t xml:space="preserve"> </w:t>
            </w:r>
            <w:r>
              <w:rPr>
                <w:rFonts w:ascii="Times New Roman" w:hAnsi="Times New Roman" w:eastAsia="仿宋_GB2312"/>
                <w:color w:val="auto"/>
                <w:sz w:val="21"/>
                <w:szCs w:val="21"/>
                <w:lang w:eastAsia="zh-CN"/>
              </w:rPr>
              <w:t>到工地价格</w:t>
            </w:r>
          </w:p>
        </w:tc>
        <w:tc>
          <w:tcPr>
            <w:tcW w:w="954" w:type="dxa"/>
            <w:vAlign w:val="center"/>
          </w:tcPr>
          <w:p>
            <w:pPr>
              <w:pStyle w:val="106"/>
              <w:widowControl/>
              <w:autoSpaceDE/>
              <w:autoSpaceDN/>
              <w:spacing w:before="21"/>
              <w:ind w:right="160"/>
              <w:contextualSpacing/>
              <w:rPr>
                <w:rFonts w:ascii="Times New Roman" w:hAnsi="Times New Roman" w:eastAsia="仿宋_GB2312"/>
                <w:color w:val="auto"/>
                <w:sz w:val="21"/>
                <w:szCs w:val="21"/>
                <w:lang w:eastAsia="zh-CN"/>
              </w:rPr>
            </w:pPr>
            <w:r>
              <w:rPr>
                <w:rFonts w:hint="eastAsia" w:ascii="Times New Roman" w:hAnsi="Times New Roman" w:eastAsia="仿宋_GB2312"/>
                <w:color w:val="auto"/>
                <w:sz w:val="21"/>
                <w:szCs w:val="21"/>
                <w:lang w:eastAsia="zh-CN"/>
              </w:rPr>
              <w:t xml:space="preserve"> </w:t>
            </w:r>
            <w:r>
              <w:rPr>
                <w:rFonts w:ascii="Times New Roman" w:hAnsi="Times New Roman" w:eastAsia="仿宋_GB2312"/>
                <w:color w:val="auto"/>
                <w:sz w:val="21"/>
                <w:szCs w:val="21"/>
                <w:lang w:eastAsia="zh-CN"/>
              </w:rPr>
              <w:t>采保费</w:t>
            </w:r>
          </w:p>
        </w:tc>
        <w:tc>
          <w:tcPr>
            <w:tcW w:w="1196" w:type="dxa"/>
            <w:vAlign w:val="center"/>
          </w:tcPr>
          <w:p>
            <w:pPr>
              <w:pStyle w:val="106"/>
              <w:widowControl/>
              <w:autoSpaceDE/>
              <w:autoSpaceDN/>
              <w:spacing w:before="21"/>
              <w:ind w:right="178"/>
              <w:contextualSpacing/>
              <w:rPr>
                <w:rFonts w:ascii="Times New Roman" w:hAnsi="Times New Roman" w:eastAsia="仿宋_GB2312"/>
                <w:color w:val="auto"/>
                <w:sz w:val="21"/>
                <w:szCs w:val="21"/>
                <w:lang w:eastAsia="zh-CN"/>
              </w:rPr>
            </w:pPr>
            <w:r>
              <w:rPr>
                <w:rFonts w:hint="eastAsia" w:ascii="Times New Roman" w:hAnsi="Times New Roman" w:eastAsia="仿宋_GB2312"/>
                <w:color w:val="auto"/>
                <w:sz w:val="21"/>
                <w:szCs w:val="21"/>
                <w:lang w:eastAsia="zh-CN"/>
              </w:rPr>
              <w:t xml:space="preserve"> </w:t>
            </w:r>
            <w:r>
              <w:rPr>
                <w:rFonts w:ascii="Times New Roman" w:hAnsi="Times New Roman" w:eastAsia="仿宋_GB2312"/>
                <w:color w:val="auto"/>
                <w:sz w:val="21"/>
                <w:szCs w:val="21"/>
                <w:lang w:eastAsia="zh-CN"/>
              </w:rPr>
              <w:t>预算价格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716"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1</w:t>
            </w:r>
          </w:p>
        </w:tc>
        <w:tc>
          <w:tcPr>
            <w:tcW w:w="1607"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防尘</w:t>
            </w:r>
            <w:r>
              <w:rPr>
                <w:rFonts w:ascii="Times New Roman" w:hAnsi="Times New Roman"/>
                <w:color w:val="auto"/>
                <w:kern w:val="0"/>
                <w:sz w:val="21"/>
                <w:szCs w:val="21"/>
                <w:lang w:eastAsia="zh-CN"/>
              </w:rPr>
              <w:t>网</w:t>
            </w:r>
          </w:p>
        </w:tc>
        <w:tc>
          <w:tcPr>
            <w:tcW w:w="788"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m</w:t>
            </w:r>
            <w:r>
              <w:rPr>
                <w:rFonts w:ascii="Times New Roman" w:hAnsi="Times New Roman"/>
                <w:color w:val="auto"/>
                <w:kern w:val="0"/>
                <w:sz w:val="21"/>
                <w:szCs w:val="21"/>
                <w:vertAlign w:val="superscript"/>
                <w:lang w:eastAsia="zh-CN"/>
              </w:rPr>
              <w:t>2</w:t>
            </w:r>
          </w:p>
        </w:tc>
        <w:tc>
          <w:tcPr>
            <w:tcW w:w="941"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2.40</w:t>
            </w:r>
          </w:p>
        </w:tc>
        <w:tc>
          <w:tcPr>
            <w:tcW w:w="954"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0.04</w:t>
            </w:r>
          </w:p>
        </w:tc>
        <w:tc>
          <w:tcPr>
            <w:tcW w:w="1428"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2.44</w:t>
            </w:r>
          </w:p>
        </w:tc>
        <w:tc>
          <w:tcPr>
            <w:tcW w:w="954"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0.06</w:t>
            </w:r>
          </w:p>
        </w:tc>
        <w:tc>
          <w:tcPr>
            <w:tcW w:w="1196" w:type="dxa"/>
            <w:vAlign w:val="center"/>
          </w:tcPr>
          <w:p>
            <w:pPr>
              <w:widowControl/>
              <w:autoSpaceDE w:val="0"/>
              <w:autoSpaceDN w:val="0"/>
              <w:contextualSpacing/>
              <w:jc w:val="center"/>
              <w:rPr>
                <w:rFonts w:ascii="Times New Roman" w:hAnsi="Times New Roman"/>
                <w:color w:val="auto"/>
                <w:kern w:val="0"/>
                <w:sz w:val="21"/>
                <w:szCs w:val="21"/>
                <w:lang w:eastAsia="zh-CN"/>
              </w:rPr>
            </w:pPr>
            <w:r>
              <w:rPr>
                <w:rFonts w:ascii="Times New Roman" w:hAnsi="Times New Roman"/>
                <w:color w:val="auto"/>
                <w:kern w:val="0"/>
                <w:sz w:val="21"/>
                <w:szCs w:val="21"/>
                <w:lang w:eastAsia="zh-CN"/>
              </w:rPr>
              <w:t>2.50</w:t>
            </w:r>
          </w:p>
        </w:tc>
      </w:tr>
    </w:tbl>
    <w:p>
      <w:pPr>
        <w:spacing w:line="360" w:lineRule="auto"/>
        <w:contextualSpacing/>
        <w:outlineLvl w:val="1"/>
        <w:rPr>
          <w:b/>
          <w:bCs/>
          <w:color w:val="auto"/>
          <w:sz w:val="30"/>
          <w:szCs w:val="30"/>
        </w:rPr>
      </w:pPr>
      <w:bookmarkStart w:id="204" w:name="_Toc145530072"/>
      <w:r>
        <w:rPr>
          <w:b/>
          <w:bCs/>
          <w:color w:val="auto"/>
          <w:sz w:val="30"/>
          <w:szCs w:val="30"/>
        </w:rPr>
        <w:t>6.</w:t>
      </w:r>
      <w:bookmarkEnd w:id="186"/>
      <w:bookmarkEnd w:id="187"/>
      <w:r>
        <w:rPr>
          <w:b/>
          <w:bCs/>
          <w:color w:val="auto"/>
          <w:sz w:val="30"/>
          <w:szCs w:val="30"/>
        </w:rPr>
        <w:t>2效益分析</w:t>
      </w:r>
      <w:bookmarkEnd w:id="188"/>
      <w:bookmarkEnd w:id="189"/>
      <w:bookmarkEnd w:id="204"/>
    </w:p>
    <w:p>
      <w:pPr>
        <w:pStyle w:val="32"/>
        <w:adjustRightInd w:val="0"/>
        <w:snapToGrid w:val="0"/>
        <w:contextualSpacing/>
        <w:rPr>
          <w:color w:val="auto"/>
          <w:sz w:val="24"/>
        </w:rPr>
      </w:pPr>
      <w:r>
        <w:rPr>
          <w:color w:val="auto"/>
          <w:sz w:val="24"/>
        </w:rPr>
        <w:t>（1）</w:t>
      </w:r>
      <w:r>
        <w:rPr>
          <w:rFonts w:hint="eastAsia"/>
          <w:color w:val="auto"/>
          <w:sz w:val="24"/>
        </w:rPr>
        <w:t>本工程建设水土流失治理达标面积</w:t>
      </w:r>
      <w:r>
        <w:rPr>
          <w:color w:val="auto"/>
          <w:sz w:val="24"/>
        </w:rPr>
        <w:t>4.17</w:t>
      </w:r>
      <w:r>
        <w:rPr>
          <w:rFonts w:hint="eastAsia"/>
          <w:color w:val="auto"/>
          <w:sz w:val="24"/>
        </w:rPr>
        <w:t>hm</w:t>
      </w:r>
      <w:r>
        <w:rPr>
          <w:rFonts w:hint="eastAsia"/>
          <w:color w:val="auto"/>
          <w:sz w:val="24"/>
          <w:vertAlign w:val="superscript"/>
        </w:rPr>
        <w:t>2</w:t>
      </w:r>
      <w:r>
        <w:rPr>
          <w:rFonts w:hint="eastAsia"/>
          <w:color w:val="auto"/>
          <w:sz w:val="24"/>
        </w:rPr>
        <w:t>，</w:t>
      </w:r>
      <w:bookmarkStart w:id="205" w:name="_Hlk99835593"/>
      <w:r>
        <w:rPr>
          <w:rFonts w:hint="eastAsia"/>
          <w:color w:val="auto"/>
          <w:sz w:val="24"/>
        </w:rPr>
        <w:t>减少水土流失</w:t>
      </w:r>
      <w:r>
        <w:rPr>
          <w:color w:val="auto"/>
          <w:sz w:val="24"/>
        </w:rPr>
        <w:t>208t</w:t>
      </w:r>
      <w:r>
        <w:rPr>
          <w:rFonts w:hint="eastAsia"/>
          <w:color w:val="auto"/>
          <w:sz w:val="24"/>
        </w:rPr>
        <w:t>。</w:t>
      </w:r>
      <w:bookmarkEnd w:id="205"/>
    </w:p>
    <w:p>
      <w:pPr>
        <w:pStyle w:val="32"/>
        <w:adjustRightInd w:val="0"/>
        <w:snapToGrid w:val="0"/>
        <w:contextualSpacing/>
        <w:rPr>
          <w:color w:val="auto"/>
          <w:sz w:val="24"/>
        </w:rPr>
      </w:pPr>
      <w:bookmarkStart w:id="206" w:name="_Hlk99835354"/>
      <w:r>
        <w:rPr>
          <w:rFonts w:hint="eastAsia"/>
          <w:color w:val="auto"/>
          <w:sz w:val="24"/>
        </w:rPr>
        <w:t>（2）</w:t>
      </w:r>
      <w:r>
        <w:rPr>
          <w:color w:val="auto"/>
          <w:sz w:val="24"/>
        </w:rPr>
        <w:t>本方案实施后，至设计水平年（2024年），工程建设过程中造成的水土流失将得到全面、及时、有效的防治。</w:t>
      </w:r>
      <w:r>
        <w:rPr>
          <w:rFonts w:hint="eastAsia"/>
          <w:color w:val="auto"/>
          <w:sz w:val="24"/>
        </w:rPr>
        <w:t>项目区水土流失治理度</w:t>
      </w:r>
      <w:r>
        <w:rPr>
          <w:color w:val="auto"/>
          <w:sz w:val="24"/>
        </w:rPr>
        <w:t>达到99.52%</w:t>
      </w:r>
      <w:r>
        <w:rPr>
          <w:rFonts w:hint="eastAsia"/>
          <w:color w:val="auto"/>
          <w:sz w:val="24"/>
        </w:rPr>
        <w:t>，</w:t>
      </w:r>
      <w:r>
        <w:rPr>
          <w:color w:val="auto"/>
          <w:sz w:val="24"/>
        </w:rPr>
        <w:t>土壤流失控制比达到1.</w:t>
      </w:r>
      <w:r>
        <w:rPr>
          <w:rFonts w:hint="eastAsia"/>
          <w:color w:val="auto"/>
          <w:sz w:val="24"/>
        </w:rPr>
        <w:t>0</w:t>
      </w:r>
      <w:r>
        <w:rPr>
          <w:color w:val="auto"/>
          <w:sz w:val="24"/>
        </w:rPr>
        <w:t>，</w:t>
      </w:r>
      <w:r>
        <w:rPr>
          <w:rFonts w:hint="eastAsia"/>
          <w:color w:val="auto"/>
          <w:sz w:val="24"/>
        </w:rPr>
        <w:t>渣土防护率达到</w:t>
      </w:r>
      <w:r>
        <w:rPr>
          <w:color w:val="auto"/>
          <w:sz w:val="24"/>
        </w:rPr>
        <w:t>99.56</w:t>
      </w:r>
      <w:r>
        <w:rPr>
          <w:rFonts w:hint="eastAsia"/>
          <w:color w:val="auto"/>
          <w:sz w:val="24"/>
        </w:rPr>
        <w:t>%，</w:t>
      </w:r>
      <w:r>
        <w:rPr>
          <w:color w:val="auto"/>
          <w:sz w:val="24"/>
        </w:rPr>
        <w:t>林草植被恢复率</w:t>
      </w:r>
      <w:r>
        <w:rPr>
          <w:rFonts w:hint="eastAsia"/>
          <w:color w:val="auto"/>
          <w:sz w:val="24"/>
        </w:rPr>
        <w:t>达到9</w:t>
      </w:r>
      <w:r>
        <w:rPr>
          <w:color w:val="auto"/>
          <w:sz w:val="24"/>
        </w:rPr>
        <w:t>9.64%</w:t>
      </w:r>
      <w:r>
        <w:rPr>
          <w:rFonts w:hint="eastAsia"/>
          <w:color w:val="auto"/>
          <w:sz w:val="24"/>
        </w:rPr>
        <w:t>，</w:t>
      </w:r>
      <w:r>
        <w:rPr>
          <w:color w:val="auto"/>
          <w:sz w:val="24"/>
        </w:rPr>
        <w:t>林草覆盖率</w:t>
      </w:r>
      <w:r>
        <w:rPr>
          <w:rFonts w:hint="eastAsia"/>
          <w:color w:val="auto"/>
          <w:sz w:val="24"/>
        </w:rPr>
        <w:t>达到6</w:t>
      </w:r>
      <w:r>
        <w:rPr>
          <w:color w:val="auto"/>
          <w:sz w:val="24"/>
        </w:rPr>
        <w:t>6.59%</w:t>
      </w:r>
      <w:r>
        <w:rPr>
          <w:rFonts w:hint="eastAsia"/>
          <w:color w:val="auto"/>
          <w:sz w:val="24"/>
        </w:rPr>
        <w:t>，表土保护率不作要求，详见表</w:t>
      </w:r>
      <w:r>
        <w:rPr>
          <w:color w:val="auto"/>
          <w:sz w:val="24"/>
        </w:rPr>
        <w:t>6.2-1</w:t>
      </w:r>
      <w:r>
        <w:rPr>
          <w:rFonts w:hint="eastAsia"/>
          <w:color w:val="auto"/>
          <w:sz w:val="24"/>
        </w:rPr>
        <w:t>。</w:t>
      </w:r>
    </w:p>
    <w:bookmarkEnd w:id="206"/>
    <w:p>
      <w:pPr>
        <w:pStyle w:val="32"/>
        <w:adjustRightInd w:val="0"/>
        <w:snapToGrid w:val="0"/>
        <w:contextualSpacing/>
        <w:rPr>
          <w:color w:val="auto"/>
          <w:sz w:val="24"/>
        </w:rPr>
      </w:pPr>
      <w:r>
        <w:rPr>
          <w:rFonts w:hint="eastAsia"/>
          <w:color w:val="auto"/>
          <w:sz w:val="24"/>
        </w:rPr>
        <w:t>通过认真落实本方案水土保持各项措施，项目建设过程中的水土流失可得到很好的防治，土地生产力可得到有效恢复，区域生态环境可得到有效维护。</w:t>
      </w:r>
    </w:p>
    <w:p>
      <w:pPr>
        <w:widowControl/>
        <w:adjustRightInd w:val="0"/>
        <w:snapToGrid w:val="0"/>
        <w:spacing w:line="300" w:lineRule="auto"/>
        <w:ind w:firstLine="422" w:firstLineChars="200"/>
        <w:contextualSpacing/>
        <w:jc w:val="center"/>
        <w:rPr>
          <w:b/>
          <w:color w:val="auto"/>
          <w:sz w:val="21"/>
          <w:szCs w:val="21"/>
        </w:rPr>
      </w:pPr>
      <w:bookmarkStart w:id="207" w:name="_Toc1946"/>
      <w:bookmarkStart w:id="208" w:name="_Toc18997"/>
      <w:bookmarkStart w:id="209" w:name="_Toc16266"/>
      <w:r>
        <w:rPr>
          <w:b/>
          <w:color w:val="auto"/>
          <w:sz w:val="21"/>
          <w:szCs w:val="21"/>
        </w:rPr>
        <w:t>表6.2-1  水土流失防治指标计算表</w:t>
      </w:r>
    </w:p>
    <w:bookmarkEnd w:id="207"/>
    <w:bookmarkEnd w:id="208"/>
    <w:bookmarkEnd w:id="209"/>
    <w:tbl>
      <w:tblPr>
        <w:tblStyle w:val="25"/>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851"/>
        <w:gridCol w:w="2551"/>
        <w:gridCol w:w="992"/>
        <w:gridCol w:w="851"/>
        <w:gridCol w:w="889"/>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54" w:type="dxa"/>
            <w:shd w:val="clear" w:color="auto" w:fill="auto"/>
            <w:vAlign w:val="center"/>
          </w:tcPr>
          <w:p>
            <w:pPr>
              <w:widowControl/>
              <w:jc w:val="center"/>
              <w:rPr>
                <w:color w:val="auto"/>
                <w:kern w:val="0"/>
                <w:sz w:val="21"/>
                <w:szCs w:val="21"/>
              </w:rPr>
            </w:pPr>
            <w:r>
              <w:rPr>
                <w:color w:val="auto"/>
                <w:kern w:val="0"/>
                <w:sz w:val="21"/>
                <w:szCs w:val="21"/>
              </w:rPr>
              <w:t>评估指标</w:t>
            </w:r>
          </w:p>
        </w:tc>
        <w:tc>
          <w:tcPr>
            <w:tcW w:w="851" w:type="dxa"/>
            <w:shd w:val="clear" w:color="auto" w:fill="auto"/>
            <w:vAlign w:val="center"/>
          </w:tcPr>
          <w:p>
            <w:pPr>
              <w:widowControl/>
              <w:jc w:val="center"/>
              <w:rPr>
                <w:color w:val="auto"/>
                <w:kern w:val="0"/>
                <w:sz w:val="21"/>
                <w:szCs w:val="21"/>
              </w:rPr>
            </w:pPr>
            <w:r>
              <w:rPr>
                <w:color w:val="auto"/>
                <w:kern w:val="0"/>
                <w:sz w:val="21"/>
                <w:szCs w:val="21"/>
              </w:rPr>
              <w:t>目标值</w:t>
            </w:r>
          </w:p>
        </w:tc>
        <w:tc>
          <w:tcPr>
            <w:tcW w:w="2551" w:type="dxa"/>
            <w:shd w:val="clear" w:color="auto" w:fill="auto"/>
            <w:vAlign w:val="center"/>
          </w:tcPr>
          <w:p>
            <w:pPr>
              <w:widowControl/>
              <w:jc w:val="center"/>
              <w:rPr>
                <w:color w:val="auto"/>
                <w:kern w:val="0"/>
                <w:sz w:val="21"/>
                <w:szCs w:val="21"/>
              </w:rPr>
            </w:pPr>
            <w:r>
              <w:rPr>
                <w:color w:val="auto"/>
                <w:kern w:val="0"/>
                <w:sz w:val="21"/>
                <w:szCs w:val="21"/>
              </w:rPr>
              <w:t>计算依据</w:t>
            </w:r>
          </w:p>
        </w:tc>
        <w:tc>
          <w:tcPr>
            <w:tcW w:w="992" w:type="dxa"/>
            <w:shd w:val="clear" w:color="auto" w:fill="auto"/>
            <w:vAlign w:val="center"/>
          </w:tcPr>
          <w:p>
            <w:pPr>
              <w:widowControl/>
              <w:jc w:val="center"/>
              <w:rPr>
                <w:color w:val="auto"/>
                <w:kern w:val="0"/>
                <w:sz w:val="21"/>
                <w:szCs w:val="21"/>
              </w:rPr>
            </w:pPr>
            <w:r>
              <w:rPr>
                <w:color w:val="auto"/>
                <w:kern w:val="0"/>
                <w:sz w:val="21"/>
                <w:szCs w:val="21"/>
              </w:rPr>
              <w:t>单位</w:t>
            </w:r>
          </w:p>
        </w:tc>
        <w:tc>
          <w:tcPr>
            <w:tcW w:w="851" w:type="dxa"/>
            <w:shd w:val="clear" w:color="auto" w:fill="auto"/>
            <w:vAlign w:val="center"/>
          </w:tcPr>
          <w:p>
            <w:pPr>
              <w:widowControl/>
              <w:jc w:val="center"/>
              <w:rPr>
                <w:color w:val="auto"/>
                <w:kern w:val="0"/>
                <w:sz w:val="21"/>
                <w:szCs w:val="21"/>
              </w:rPr>
            </w:pPr>
            <w:r>
              <w:rPr>
                <w:color w:val="auto"/>
                <w:kern w:val="0"/>
                <w:sz w:val="21"/>
                <w:szCs w:val="21"/>
              </w:rPr>
              <w:t>数量</w:t>
            </w:r>
          </w:p>
        </w:tc>
        <w:tc>
          <w:tcPr>
            <w:tcW w:w="889" w:type="dxa"/>
            <w:shd w:val="clear" w:color="auto" w:fill="auto"/>
            <w:vAlign w:val="center"/>
          </w:tcPr>
          <w:p>
            <w:pPr>
              <w:widowControl/>
              <w:jc w:val="center"/>
              <w:rPr>
                <w:color w:val="auto"/>
                <w:kern w:val="0"/>
                <w:sz w:val="21"/>
                <w:szCs w:val="21"/>
              </w:rPr>
            </w:pPr>
            <w:r>
              <w:rPr>
                <w:color w:val="auto"/>
                <w:kern w:val="0"/>
                <w:sz w:val="21"/>
                <w:szCs w:val="21"/>
              </w:rPr>
              <w:t>计算结果</w:t>
            </w:r>
          </w:p>
        </w:tc>
        <w:tc>
          <w:tcPr>
            <w:tcW w:w="1074" w:type="dxa"/>
            <w:shd w:val="clear" w:color="auto" w:fill="auto"/>
            <w:vAlign w:val="center"/>
          </w:tcPr>
          <w:p>
            <w:pPr>
              <w:widowControl/>
              <w:jc w:val="center"/>
              <w:rPr>
                <w:color w:val="auto"/>
                <w:kern w:val="0"/>
                <w:sz w:val="21"/>
                <w:szCs w:val="21"/>
              </w:rPr>
            </w:pPr>
            <w:r>
              <w:rPr>
                <w:color w:val="auto"/>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restart"/>
            <w:shd w:val="clear" w:color="auto" w:fill="auto"/>
            <w:vAlign w:val="center"/>
          </w:tcPr>
          <w:p>
            <w:pPr>
              <w:widowControl/>
              <w:jc w:val="center"/>
              <w:rPr>
                <w:color w:val="auto"/>
                <w:kern w:val="0"/>
                <w:sz w:val="21"/>
                <w:szCs w:val="21"/>
              </w:rPr>
            </w:pPr>
            <w:r>
              <w:rPr>
                <w:color w:val="auto"/>
                <w:kern w:val="0"/>
                <w:sz w:val="21"/>
                <w:szCs w:val="21"/>
              </w:rPr>
              <w:t>水土流失总治理度（%）</w:t>
            </w:r>
          </w:p>
        </w:tc>
        <w:tc>
          <w:tcPr>
            <w:tcW w:w="851" w:type="dxa"/>
            <w:vMerge w:val="restart"/>
            <w:shd w:val="clear" w:color="auto" w:fill="auto"/>
            <w:vAlign w:val="center"/>
          </w:tcPr>
          <w:p>
            <w:pPr>
              <w:widowControl/>
              <w:jc w:val="center"/>
              <w:rPr>
                <w:color w:val="auto"/>
                <w:kern w:val="0"/>
                <w:sz w:val="21"/>
                <w:szCs w:val="21"/>
              </w:rPr>
            </w:pPr>
            <w:r>
              <w:rPr>
                <w:color w:val="auto"/>
                <w:kern w:val="0"/>
                <w:sz w:val="21"/>
                <w:szCs w:val="21"/>
              </w:rPr>
              <w:t>97</w:t>
            </w:r>
          </w:p>
        </w:tc>
        <w:tc>
          <w:tcPr>
            <w:tcW w:w="2551" w:type="dxa"/>
            <w:shd w:val="clear" w:color="auto" w:fill="auto"/>
            <w:vAlign w:val="center"/>
          </w:tcPr>
          <w:p>
            <w:pPr>
              <w:widowControl/>
              <w:jc w:val="center"/>
              <w:rPr>
                <w:color w:val="auto"/>
                <w:kern w:val="0"/>
                <w:sz w:val="21"/>
                <w:szCs w:val="21"/>
              </w:rPr>
            </w:pPr>
            <w:r>
              <w:rPr>
                <w:color w:val="auto"/>
                <w:kern w:val="0"/>
                <w:sz w:val="21"/>
                <w:szCs w:val="21"/>
              </w:rPr>
              <w:t>水土流失治理达标面积</w:t>
            </w:r>
          </w:p>
        </w:tc>
        <w:tc>
          <w:tcPr>
            <w:tcW w:w="992" w:type="dxa"/>
            <w:shd w:val="clear" w:color="auto" w:fill="auto"/>
            <w:vAlign w:val="center"/>
          </w:tcPr>
          <w:p>
            <w:pPr>
              <w:widowControl/>
              <w:jc w:val="center"/>
              <w:rPr>
                <w:color w:val="auto"/>
                <w:kern w:val="0"/>
                <w:sz w:val="21"/>
                <w:szCs w:val="21"/>
              </w:rPr>
            </w:pPr>
            <w:r>
              <w:rPr>
                <w:color w:val="auto"/>
                <w:kern w:val="0"/>
                <w:sz w:val="21"/>
                <w:szCs w:val="21"/>
              </w:rPr>
              <w:t>hm</w:t>
            </w:r>
            <w:r>
              <w:rPr>
                <w:color w:val="auto"/>
                <w:kern w:val="0"/>
                <w:sz w:val="21"/>
                <w:szCs w:val="21"/>
                <w:vertAlign w:val="superscript"/>
              </w:rPr>
              <w:t>2</w:t>
            </w:r>
          </w:p>
        </w:tc>
        <w:tc>
          <w:tcPr>
            <w:tcW w:w="851" w:type="dxa"/>
            <w:shd w:val="clear" w:color="auto" w:fill="auto"/>
            <w:vAlign w:val="center"/>
          </w:tcPr>
          <w:p>
            <w:pPr>
              <w:jc w:val="center"/>
              <w:rPr>
                <w:color w:val="auto"/>
                <w:sz w:val="21"/>
                <w:szCs w:val="21"/>
              </w:rPr>
            </w:pPr>
            <w:r>
              <w:rPr>
                <w:color w:val="auto"/>
                <w:sz w:val="21"/>
                <w:szCs w:val="21"/>
              </w:rPr>
              <w:t>4.17</w:t>
            </w:r>
          </w:p>
        </w:tc>
        <w:tc>
          <w:tcPr>
            <w:tcW w:w="889" w:type="dxa"/>
            <w:vMerge w:val="restart"/>
            <w:shd w:val="clear" w:color="auto" w:fill="auto"/>
            <w:vAlign w:val="center"/>
          </w:tcPr>
          <w:p>
            <w:pPr>
              <w:widowControl/>
              <w:jc w:val="center"/>
              <w:rPr>
                <w:color w:val="auto"/>
                <w:kern w:val="0"/>
                <w:sz w:val="21"/>
                <w:szCs w:val="21"/>
              </w:rPr>
            </w:pPr>
            <w:r>
              <w:rPr>
                <w:rFonts w:hint="eastAsia"/>
                <w:color w:val="auto"/>
                <w:kern w:val="0"/>
                <w:sz w:val="21"/>
                <w:szCs w:val="21"/>
              </w:rPr>
              <w:t>9</w:t>
            </w:r>
            <w:r>
              <w:rPr>
                <w:color w:val="auto"/>
                <w:kern w:val="0"/>
                <w:sz w:val="21"/>
                <w:szCs w:val="21"/>
              </w:rPr>
              <w:t>9.52</w:t>
            </w:r>
          </w:p>
        </w:tc>
        <w:tc>
          <w:tcPr>
            <w:tcW w:w="1074" w:type="dxa"/>
            <w:vMerge w:val="restart"/>
            <w:shd w:val="clear" w:color="auto" w:fill="auto"/>
            <w:vAlign w:val="center"/>
          </w:tcPr>
          <w:p>
            <w:pPr>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continue"/>
            <w:shd w:val="clear" w:color="auto" w:fill="auto"/>
            <w:vAlign w:val="center"/>
          </w:tcPr>
          <w:p>
            <w:pPr>
              <w:jc w:val="center"/>
              <w:rPr>
                <w:color w:val="auto"/>
                <w:sz w:val="21"/>
                <w:szCs w:val="21"/>
              </w:rPr>
            </w:pPr>
          </w:p>
        </w:tc>
        <w:tc>
          <w:tcPr>
            <w:tcW w:w="851" w:type="dxa"/>
            <w:vMerge w:val="continue"/>
            <w:shd w:val="clear" w:color="auto" w:fill="auto"/>
            <w:vAlign w:val="center"/>
          </w:tcPr>
          <w:p>
            <w:pPr>
              <w:jc w:val="center"/>
              <w:rPr>
                <w:color w:val="auto"/>
                <w:sz w:val="21"/>
                <w:szCs w:val="21"/>
              </w:rPr>
            </w:pPr>
          </w:p>
        </w:tc>
        <w:tc>
          <w:tcPr>
            <w:tcW w:w="2551" w:type="dxa"/>
            <w:shd w:val="clear" w:color="auto" w:fill="auto"/>
            <w:vAlign w:val="center"/>
          </w:tcPr>
          <w:p>
            <w:pPr>
              <w:widowControl/>
              <w:jc w:val="center"/>
              <w:rPr>
                <w:color w:val="auto"/>
                <w:kern w:val="0"/>
                <w:sz w:val="21"/>
                <w:szCs w:val="21"/>
              </w:rPr>
            </w:pPr>
            <w:r>
              <w:rPr>
                <w:color w:val="auto"/>
                <w:kern w:val="0"/>
                <w:sz w:val="21"/>
                <w:szCs w:val="21"/>
              </w:rPr>
              <w:t>水土流失总面积</w:t>
            </w:r>
          </w:p>
        </w:tc>
        <w:tc>
          <w:tcPr>
            <w:tcW w:w="992" w:type="dxa"/>
            <w:shd w:val="clear" w:color="auto" w:fill="auto"/>
            <w:vAlign w:val="center"/>
          </w:tcPr>
          <w:p>
            <w:pPr>
              <w:widowControl/>
              <w:jc w:val="center"/>
              <w:rPr>
                <w:color w:val="auto"/>
                <w:kern w:val="0"/>
                <w:sz w:val="21"/>
                <w:szCs w:val="21"/>
              </w:rPr>
            </w:pPr>
            <w:r>
              <w:rPr>
                <w:color w:val="auto"/>
                <w:kern w:val="0"/>
                <w:sz w:val="21"/>
                <w:szCs w:val="21"/>
              </w:rPr>
              <w:t>hm</w:t>
            </w:r>
            <w:r>
              <w:rPr>
                <w:color w:val="auto"/>
                <w:kern w:val="0"/>
                <w:sz w:val="21"/>
                <w:szCs w:val="21"/>
                <w:vertAlign w:val="superscript"/>
              </w:rPr>
              <w:t>2</w:t>
            </w:r>
          </w:p>
        </w:tc>
        <w:tc>
          <w:tcPr>
            <w:tcW w:w="851" w:type="dxa"/>
            <w:shd w:val="clear" w:color="auto" w:fill="auto"/>
            <w:vAlign w:val="center"/>
          </w:tcPr>
          <w:p>
            <w:pPr>
              <w:jc w:val="center"/>
              <w:rPr>
                <w:color w:val="auto"/>
                <w:sz w:val="21"/>
                <w:szCs w:val="21"/>
              </w:rPr>
            </w:pPr>
            <w:r>
              <w:rPr>
                <w:color w:val="auto"/>
                <w:kern w:val="0"/>
                <w:sz w:val="21"/>
                <w:szCs w:val="21"/>
              </w:rPr>
              <w:t>4.19</w:t>
            </w:r>
          </w:p>
        </w:tc>
        <w:tc>
          <w:tcPr>
            <w:tcW w:w="889" w:type="dxa"/>
            <w:vMerge w:val="continue"/>
            <w:shd w:val="clear" w:color="auto" w:fill="auto"/>
            <w:vAlign w:val="center"/>
          </w:tcPr>
          <w:p>
            <w:pPr>
              <w:jc w:val="center"/>
              <w:rPr>
                <w:color w:val="auto"/>
                <w:sz w:val="21"/>
                <w:szCs w:val="21"/>
              </w:rPr>
            </w:pPr>
          </w:p>
        </w:tc>
        <w:tc>
          <w:tcPr>
            <w:tcW w:w="1074" w:type="dxa"/>
            <w:vMerge w:val="continue"/>
            <w:shd w:val="clear" w:color="auto" w:fill="auto"/>
            <w:vAlign w:val="center"/>
          </w:tcPr>
          <w:p>
            <w:pPr>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restart"/>
            <w:shd w:val="clear" w:color="auto" w:fill="auto"/>
            <w:vAlign w:val="center"/>
          </w:tcPr>
          <w:p>
            <w:pPr>
              <w:widowControl/>
              <w:jc w:val="center"/>
              <w:rPr>
                <w:color w:val="auto"/>
                <w:kern w:val="0"/>
                <w:sz w:val="21"/>
                <w:szCs w:val="21"/>
              </w:rPr>
            </w:pPr>
            <w:r>
              <w:rPr>
                <w:color w:val="auto"/>
                <w:kern w:val="0"/>
                <w:sz w:val="21"/>
                <w:szCs w:val="21"/>
              </w:rPr>
              <w:t>土壤流失控制比</w:t>
            </w:r>
          </w:p>
        </w:tc>
        <w:tc>
          <w:tcPr>
            <w:tcW w:w="851" w:type="dxa"/>
            <w:vMerge w:val="restart"/>
            <w:shd w:val="clear" w:color="auto" w:fill="auto"/>
            <w:vAlign w:val="center"/>
          </w:tcPr>
          <w:p>
            <w:pPr>
              <w:widowControl/>
              <w:jc w:val="center"/>
              <w:rPr>
                <w:color w:val="auto"/>
                <w:kern w:val="0"/>
                <w:sz w:val="21"/>
                <w:szCs w:val="21"/>
              </w:rPr>
            </w:pPr>
            <w:r>
              <w:rPr>
                <w:color w:val="auto"/>
                <w:kern w:val="0"/>
                <w:sz w:val="21"/>
                <w:szCs w:val="21"/>
              </w:rPr>
              <w:t>1.0</w:t>
            </w:r>
          </w:p>
        </w:tc>
        <w:tc>
          <w:tcPr>
            <w:tcW w:w="2551" w:type="dxa"/>
            <w:shd w:val="clear" w:color="auto" w:fill="auto"/>
            <w:vAlign w:val="center"/>
          </w:tcPr>
          <w:p>
            <w:pPr>
              <w:widowControl/>
              <w:jc w:val="center"/>
              <w:rPr>
                <w:color w:val="auto"/>
                <w:kern w:val="0"/>
                <w:sz w:val="21"/>
                <w:szCs w:val="21"/>
              </w:rPr>
            </w:pPr>
            <w:r>
              <w:rPr>
                <w:color w:val="auto"/>
                <w:kern w:val="0"/>
                <w:sz w:val="21"/>
                <w:szCs w:val="21"/>
              </w:rPr>
              <w:t>项目区容许土壤流失量</w:t>
            </w:r>
          </w:p>
        </w:tc>
        <w:tc>
          <w:tcPr>
            <w:tcW w:w="992" w:type="dxa"/>
            <w:shd w:val="clear" w:color="auto" w:fill="auto"/>
            <w:vAlign w:val="center"/>
          </w:tcPr>
          <w:p>
            <w:pPr>
              <w:widowControl/>
              <w:jc w:val="center"/>
              <w:rPr>
                <w:color w:val="auto"/>
                <w:kern w:val="0"/>
                <w:sz w:val="21"/>
                <w:szCs w:val="21"/>
              </w:rPr>
            </w:pPr>
            <w:r>
              <w:rPr>
                <w:color w:val="auto"/>
                <w:kern w:val="0"/>
                <w:sz w:val="21"/>
                <w:szCs w:val="21"/>
              </w:rPr>
              <w:t>t/km</w:t>
            </w:r>
            <w:r>
              <w:rPr>
                <w:color w:val="auto"/>
                <w:kern w:val="0"/>
                <w:sz w:val="21"/>
                <w:szCs w:val="21"/>
                <w:vertAlign w:val="superscript"/>
              </w:rPr>
              <w:t>2</w:t>
            </w:r>
            <w:r>
              <w:rPr>
                <w:color w:val="auto"/>
                <w:kern w:val="0"/>
                <w:sz w:val="21"/>
                <w:szCs w:val="21"/>
              </w:rPr>
              <w:t>·a</w:t>
            </w:r>
          </w:p>
        </w:tc>
        <w:tc>
          <w:tcPr>
            <w:tcW w:w="851" w:type="dxa"/>
            <w:shd w:val="clear" w:color="auto" w:fill="auto"/>
            <w:vAlign w:val="center"/>
          </w:tcPr>
          <w:p>
            <w:pPr>
              <w:jc w:val="center"/>
              <w:rPr>
                <w:color w:val="auto"/>
                <w:sz w:val="21"/>
                <w:szCs w:val="21"/>
              </w:rPr>
            </w:pPr>
            <w:r>
              <w:rPr>
                <w:color w:val="auto"/>
                <w:sz w:val="21"/>
                <w:szCs w:val="21"/>
              </w:rPr>
              <w:t>200</w:t>
            </w:r>
          </w:p>
        </w:tc>
        <w:tc>
          <w:tcPr>
            <w:tcW w:w="889" w:type="dxa"/>
            <w:vMerge w:val="restart"/>
            <w:shd w:val="clear" w:color="auto" w:fill="auto"/>
            <w:vAlign w:val="center"/>
          </w:tcPr>
          <w:p>
            <w:pPr>
              <w:jc w:val="center"/>
              <w:rPr>
                <w:color w:val="auto"/>
                <w:sz w:val="21"/>
                <w:szCs w:val="21"/>
              </w:rPr>
            </w:pPr>
            <w:r>
              <w:rPr>
                <w:color w:val="auto"/>
                <w:sz w:val="21"/>
                <w:szCs w:val="21"/>
              </w:rPr>
              <w:t>1.</w:t>
            </w:r>
            <w:r>
              <w:rPr>
                <w:rFonts w:hint="eastAsia"/>
                <w:color w:val="auto"/>
                <w:sz w:val="21"/>
                <w:szCs w:val="21"/>
              </w:rPr>
              <w:t>0</w:t>
            </w:r>
          </w:p>
        </w:tc>
        <w:tc>
          <w:tcPr>
            <w:tcW w:w="1074" w:type="dxa"/>
            <w:vMerge w:val="restart"/>
            <w:shd w:val="clear" w:color="auto" w:fill="auto"/>
            <w:vAlign w:val="center"/>
          </w:tcPr>
          <w:p>
            <w:pPr>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continue"/>
            <w:shd w:val="clear" w:color="auto" w:fill="auto"/>
            <w:vAlign w:val="center"/>
          </w:tcPr>
          <w:p>
            <w:pPr>
              <w:jc w:val="center"/>
              <w:rPr>
                <w:color w:val="auto"/>
                <w:sz w:val="21"/>
                <w:szCs w:val="21"/>
              </w:rPr>
            </w:pPr>
          </w:p>
        </w:tc>
        <w:tc>
          <w:tcPr>
            <w:tcW w:w="851" w:type="dxa"/>
            <w:vMerge w:val="continue"/>
            <w:shd w:val="clear" w:color="auto" w:fill="auto"/>
            <w:vAlign w:val="center"/>
          </w:tcPr>
          <w:p>
            <w:pPr>
              <w:jc w:val="center"/>
              <w:rPr>
                <w:color w:val="auto"/>
                <w:sz w:val="21"/>
                <w:szCs w:val="21"/>
              </w:rPr>
            </w:pPr>
          </w:p>
        </w:tc>
        <w:tc>
          <w:tcPr>
            <w:tcW w:w="2551" w:type="dxa"/>
            <w:shd w:val="clear" w:color="auto" w:fill="auto"/>
            <w:vAlign w:val="center"/>
          </w:tcPr>
          <w:p>
            <w:pPr>
              <w:widowControl/>
              <w:jc w:val="center"/>
              <w:rPr>
                <w:color w:val="auto"/>
                <w:kern w:val="0"/>
                <w:sz w:val="21"/>
                <w:szCs w:val="21"/>
              </w:rPr>
            </w:pPr>
            <w:r>
              <w:rPr>
                <w:color w:val="auto"/>
                <w:kern w:val="0"/>
                <w:sz w:val="21"/>
                <w:szCs w:val="21"/>
              </w:rPr>
              <w:t>方案实施后土壤侵蚀强度</w:t>
            </w:r>
          </w:p>
        </w:tc>
        <w:tc>
          <w:tcPr>
            <w:tcW w:w="992" w:type="dxa"/>
            <w:shd w:val="clear" w:color="auto" w:fill="auto"/>
            <w:vAlign w:val="center"/>
          </w:tcPr>
          <w:p>
            <w:pPr>
              <w:widowControl/>
              <w:jc w:val="center"/>
              <w:rPr>
                <w:color w:val="auto"/>
                <w:kern w:val="0"/>
                <w:sz w:val="21"/>
                <w:szCs w:val="21"/>
              </w:rPr>
            </w:pPr>
            <w:r>
              <w:rPr>
                <w:color w:val="auto"/>
                <w:kern w:val="0"/>
                <w:sz w:val="21"/>
                <w:szCs w:val="21"/>
              </w:rPr>
              <w:t>t/km</w:t>
            </w:r>
            <w:r>
              <w:rPr>
                <w:color w:val="auto"/>
                <w:kern w:val="0"/>
                <w:sz w:val="21"/>
                <w:szCs w:val="21"/>
                <w:vertAlign w:val="superscript"/>
              </w:rPr>
              <w:t>2</w:t>
            </w:r>
            <w:r>
              <w:rPr>
                <w:color w:val="auto"/>
                <w:kern w:val="0"/>
                <w:sz w:val="21"/>
                <w:szCs w:val="21"/>
              </w:rPr>
              <w:t>·a</w:t>
            </w:r>
          </w:p>
        </w:tc>
        <w:tc>
          <w:tcPr>
            <w:tcW w:w="851" w:type="dxa"/>
            <w:shd w:val="clear" w:color="auto" w:fill="auto"/>
            <w:vAlign w:val="center"/>
          </w:tcPr>
          <w:p>
            <w:pPr>
              <w:jc w:val="center"/>
              <w:rPr>
                <w:color w:val="auto"/>
                <w:sz w:val="21"/>
                <w:szCs w:val="21"/>
              </w:rPr>
            </w:pPr>
            <w:r>
              <w:rPr>
                <w:color w:val="auto"/>
                <w:sz w:val="21"/>
                <w:szCs w:val="21"/>
              </w:rPr>
              <w:t>2</w:t>
            </w:r>
            <w:r>
              <w:rPr>
                <w:rFonts w:hint="eastAsia"/>
                <w:color w:val="auto"/>
                <w:sz w:val="21"/>
                <w:szCs w:val="21"/>
              </w:rPr>
              <w:t>00</w:t>
            </w:r>
          </w:p>
        </w:tc>
        <w:tc>
          <w:tcPr>
            <w:tcW w:w="889" w:type="dxa"/>
            <w:vMerge w:val="continue"/>
            <w:shd w:val="clear" w:color="auto" w:fill="auto"/>
            <w:vAlign w:val="center"/>
          </w:tcPr>
          <w:p>
            <w:pPr>
              <w:jc w:val="center"/>
              <w:rPr>
                <w:color w:val="auto"/>
                <w:sz w:val="21"/>
                <w:szCs w:val="21"/>
              </w:rPr>
            </w:pPr>
          </w:p>
        </w:tc>
        <w:tc>
          <w:tcPr>
            <w:tcW w:w="1074" w:type="dxa"/>
            <w:vMerge w:val="continue"/>
            <w:shd w:val="clear" w:color="auto" w:fill="auto"/>
            <w:vAlign w:val="center"/>
          </w:tcPr>
          <w:p>
            <w:pPr>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restart"/>
            <w:shd w:val="clear" w:color="auto" w:fill="auto"/>
            <w:vAlign w:val="center"/>
          </w:tcPr>
          <w:p>
            <w:pPr>
              <w:widowControl/>
              <w:jc w:val="center"/>
              <w:rPr>
                <w:color w:val="auto"/>
                <w:kern w:val="0"/>
                <w:sz w:val="21"/>
                <w:szCs w:val="21"/>
              </w:rPr>
            </w:pPr>
            <w:r>
              <w:rPr>
                <w:color w:val="auto"/>
                <w:kern w:val="0"/>
                <w:sz w:val="21"/>
                <w:szCs w:val="21"/>
              </w:rPr>
              <w:t>渣土防护率</w:t>
            </w:r>
          </w:p>
          <w:p>
            <w:pPr>
              <w:widowControl/>
              <w:jc w:val="center"/>
              <w:rPr>
                <w:color w:val="auto"/>
                <w:kern w:val="0"/>
                <w:sz w:val="21"/>
                <w:szCs w:val="21"/>
              </w:rPr>
            </w:pPr>
            <w:r>
              <w:rPr>
                <w:color w:val="auto"/>
                <w:kern w:val="0"/>
                <w:sz w:val="21"/>
                <w:szCs w:val="21"/>
              </w:rPr>
              <w:t>（%）</w:t>
            </w:r>
          </w:p>
        </w:tc>
        <w:tc>
          <w:tcPr>
            <w:tcW w:w="851" w:type="dxa"/>
            <w:vMerge w:val="restart"/>
            <w:shd w:val="clear" w:color="auto" w:fill="auto"/>
            <w:vAlign w:val="center"/>
          </w:tcPr>
          <w:p>
            <w:pPr>
              <w:widowControl/>
              <w:jc w:val="center"/>
              <w:rPr>
                <w:color w:val="auto"/>
                <w:kern w:val="0"/>
                <w:sz w:val="21"/>
                <w:szCs w:val="21"/>
              </w:rPr>
            </w:pPr>
            <w:r>
              <w:rPr>
                <w:color w:val="auto"/>
                <w:kern w:val="0"/>
                <w:sz w:val="21"/>
                <w:szCs w:val="21"/>
              </w:rPr>
              <w:t>98</w:t>
            </w:r>
          </w:p>
        </w:tc>
        <w:tc>
          <w:tcPr>
            <w:tcW w:w="2551" w:type="dxa"/>
            <w:shd w:val="clear" w:color="auto" w:fill="auto"/>
            <w:vAlign w:val="center"/>
          </w:tcPr>
          <w:p>
            <w:pPr>
              <w:widowControl/>
              <w:jc w:val="center"/>
              <w:rPr>
                <w:color w:val="auto"/>
                <w:kern w:val="0"/>
                <w:sz w:val="21"/>
                <w:szCs w:val="21"/>
              </w:rPr>
            </w:pPr>
            <w:r>
              <w:rPr>
                <w:color w:val="auto"/>
                <w:kern w:val="0"/>
                <w:sz w:val="21"/>
                <w:szCs w:val="21"/>
              </w:rPr>
              <w:t>实际挡护的临时堆土总量</w:t>
            </w:r>
          </w:p>
        </w:tc>
        <w:tc>
          <w:tcPr>
            <w:tcW w:w="992" w:type="dxa"/>
            <w:shd w:val="clear" w:color="auto" w:fill="auto"/>
            <w:vAlign w:val="center"/>
          </w:tcPr>
          <w:p>
            <w:pPr>
              <w:widowControl/>
              <w:jc w:val="center"/>
              <w:rPr>
                <w:color w:val="auto"/>
                <w:kern w:val="0"/>
                <w:sz w:val="21"/>
                <w:szCs w:val="21"/>
              </w:rPr>
            </w:pPr>
            <w:r>
              <w:rPr>
                <w:color w:val="auto"/>
                <w:kern w:val="0"/>
                <w:sz w:val="21"/>
                <w:szCs w:val="21"/>
              </w:rPr>
              <w:t>万m</w:t>
            </w:r>
            <w:r>
              <w:rPr>
                <w:color w:val="auto"/>
                <w:kern w:val="0"/>
                <w:sz w:val="21"/>
                <w:szCs w:val="21"/>
                <w:vertAlign w:val="superscript"/>
              </w:rPr>
              <w:t>3</w:t>
            </w:r>
          </w:p>
        </w:tc>
        <w:tc>
          <w:tcPr>
            <w:tcW w:w="851" w:type="dxa"/>
            <w:shd w:val="clear" w:color="auto" w:fill="auto"/>
            <w:vAlign w:val="center"/>
          </w:tcPr>
          <w:p>
            <w:pPr>
              <w:widowControl/>
              <w:jc w:val="center"/>
              <w:rPr>
                <w:color w:val="auto"/>
                <w:kern w:val="0"/>
                <w:sz w:val="21"/>
                <w:szCs w:val="21"/>
              </w:rPr>
            </w:pPr>
            <w:r>
              <w:rPr>
                <w:color w:val="auto"/>
                <w:kern w:val="0"/>
                <w:sz w:val="21"/>
                <w:szCs w:val="21"/>
              </w:rPr>
              <w:t>2.24</w:t>
            </w:r>
          </w:p>
        </w:tc>
        <w:tc>
          <w:tcPr>
            <w:tcW w:w="889" w:type="dxa"/>
            <w:vMerge w:val="restart"/>
            <w:shd w:val="clear" w:color="auto" w:fill="auto"/>
            <w:vAlign w:val="center"/>
          </w:tcPr>
          <w:p>
            <w:pPr>
              <w:jc w:val="center"/>
              <w:rPr>
                <w:color w:val="auto"/>
                <w:sz w:val="21"/>
                <w:szCs w:val="21"/>
              </w:rPr>
            </w:pPr>
            <w:r>
              <w:rPr>
                <w:color w:val="auto"/>
                <w:sz w:val="21"/>
                <w:szCs w:val="21"/>
              </w:rPr>
              <w:t>99.56</w:t>
            </w:r>
          </w:p>
        </w:tc>
        <w:tc>
          <w:tcPr>
            <w:tcW w:w="1074" w:type="dxa"/>
            <w:vMerge w:val="restart"/>
            <w:shd w:val="clear" w:color="auto" w:fill="auto"/>
            <w:vAlign w:val="center"/>
          </w:tcPr>
          <w:p>
            <w:pPr>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continue"/>
            <w:shd w:val="clear" w:color="auto" w:fill="auto"/>
            <w:vAlign w:val="center"/>
          </w:tcPr>
          <w:p>
            <w:pPr>
              <w:jc w:val="center"/>
              <w:rPr>
                <w:color w:val="auto"/>
                <w:sz w:val="21"/>
                <w:szCs w:val="21"/>
              </w:rPr>
            </w:pPr>
          </w:p>
        </w:tc>
        <w:tc>
          <w:tcPr>
            <w:tcW w:w="851" w:type="dxa"/>
            <w:vMerge w:val="continue"/>
            <w:shd w:val="clear" w:color="auto" w:fill="auto"/>
            <w:vAlign w:val="center"/>
          </w:tcPr>
          <w:p>
            <w:pPr>
              <w:jc w:val="center"/>
              <w:rPr>
                <w:color w:val="auto"/>
                <w:sz w:val="21"/>
                <w:szCs w:val="21"/>
              </w:rPr>
            </w:pPr>
          </w:p>
        </w:tc>
        <w:tc>
          <w:tcPr>
            <w:tcW w:w="2551" w:type="dxa"/>
            <w:shd w:val="clear" w:color="auto" w:fill="auto"/>
            <w:vAlign w:val="center"/>
          </w:tcPr>
          <w:p>
            <w:pPr>
              <w:widowControl/>
              <w:jc w:val="center"/>
              <w:rPr>
                <w:color w:val="auto"/>
                <w:kern w:val="0"/>
                <w:sz w:val="21"/>
                <w:szCs w:val="21"/>
              </w:rPr>
            </w:pPr>
            <w:r>
              <w:rPr>
                <w:color w:val="auto"/>
                <w:kern w:val="0"/>
                <w:sz w:val="21"/>
                <w:szCs w:val="21"/>
              </w:rPr>
              <w:t>临时堆土总量</w:t>
            </w:r>
          </w:p>
        </w:tc>
        <w:tc>
          <w:tcPr>
            <w:tcW w:w="992" w:type="dxa"/>
            <w:shd w:val="clear" w:color="auto" w:fill="auto"/>
            <w:vAlign w:val="center"/>
          </w:tcPr>
          <w:p>
            <w:pPr>
              <w:widowControl/>
              <w:jc w:val="center"/>
              <w:rPr>
                <w:color w:val="auto"/>
                <w:kern w:val="0"/>
                <w:sz w:val="21"/>
                <w:szCs w:val="21"/>
              </w:rPr>
            </w:pPr>
            <w:r>
              <w:rPr>
                <w:color w:val="auto"/>
                <w:kern w:val="0"/>
                <w:sz w:val="21"/>
                <w:szCs w:val="21"/>
              </w:rPr>
              <w:t>万m</w:t>
            </w:r>
            <w:r>
              <w:rPr>
                <w:color w:val="auto"/>
                <w:kern w:val="0"/>
                <w:sz w:val="21"/>
                <w:szCs w:val="21"/>
                <w:vertAlign w:val="superscript"/>
              </w:rPr>
              <w:t>3</w:t>
            </w:r>
          </w:p>
        </w:tc>
        <w:tc>
          <w:tcPr>
            <w:tcW w:w="851" w:type="dxa"/>
            <w:shd w:val="clear" w:color="auto" w:fill="auto"/>
            <w:vAlign w:val="center"/>
          </w:tcPr>
          <w:p>
            <w:pPr>
              <w:widowControl/>
              <w:jc w:val="center"/>
              <w:rPr>
                <w:color w:val="auto"/>
                <w:kern w:val="0"/>
                <w:sz w:val="21"/>
                <w:szCs w:val="21"/>
              </w:rPr>
            </w:pPr>
            <w:r>
              <w:rPr>
                <w:color w:val="auto"/>
                <w:kern w:val="0"/>
                <w:sz w:val="21"/>
                <w:szCs w:val="21"/>
              </w:rPr>
              <w:t>2.25</w:t>
            </w:r>
          </w:p>
        </w:tc>
        <w:tc>
          <w:tcPr>
            <w:tcW w:w="889" w:type="dxa"/>
            <w:vMerge w:val="continue"/>
            <w:shd w:val="clear" w:color="auto" w:fill="auto"/>
            <w:vAlign w:val="center"/>
          </w:tcPr>
          <w:p>
            <w:pPr>
              <w:jc w:val="center"/>
              <w:rPr>
                <w:color w:val="auto"/>
                <w:sz w:val="21"/>
                <w:szCs w:val="21"/>
              </w:rPr>
            </w:pPr>
          </w:p>
        </w:tc>
        <w:tc>
          <w:tcPr>
            <w:tcW w:w="1074" w:type="dxa"/>
            <w:vMerge w:val="continue"/>
            <w:shd w:val="clear" w:color="auto" w:fill="auto"/>
            <w:vAlign w:val="center"/>
          </w:tcPr>
          <w:p>
            <w:pPr>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restart"/>
            <w:shd w:val="clear" w:color="auto" w:fill="auto"/>
            <w:vAlign w:val="center"/>
          </w:tcPr>
          <w:p>
            <w:pPr>
              <w:widowControl/>
              <w:jc w:val="center"/>
              <w:rPr>
                <w:color w:val="auto"/>
                <w:kern w:val="0"/>
                <w:sz w:val="21"/>
                <w:szCs w:val="21"/>
              </w:rPr>
            </w:pPr>
            <w:r>
              <w:rPr>
                <w:color w:val="auto"/>
                <w:kern w:val="0"/>
                <w:sz w:val="21"/>
                <w:szCs w:val="21"/>
              </w:rPr>
              <w:t>表土保护率</w:t>
            </w:r>
          </w:p>
          <w:p>
            <w:pPr>
              <w:widowControl/>
              <w:jc w:val="center"/>
              <w:rPr>
                <w:color w:val="auto"/>
                <w:kern w:val="0"/>
                <w:sz w:val="21"/>
                <w:szCs w:val="21"/>
              </w:rPr>
            </w:pPr>
            <w:r>
              <w:rPr>
                <w:color w:val="auto"/>
                <w:kern w:val="0"/>
                <w:sz w:val="21"/>
                <w:szCs w:val="21"/>
              </w:rPr>
              <w:t>（%）</w:t>
            </w:r>
          </w:p>
        </w:tc>
        <w:tc>
          <w:tcPr>
            <w:tcW w:w="851" w:type="dxa"/>
            <w:vMerge w:val="restart"/>
            <w:shd w:val="clear" w:color="auto" w:fill="auto"/>
            <w:vAlign w:val="center"/>
          </w:tcPr>
          <w:p>
            <w:pPr>
              <w:widowControl/>
              <w:jc w:val="center"/>
              <w:rPr>
                <w:color w:val="auto"/>
                <w:kern w:val="0"/>
                <w:sz w:val="21"/>
                <w:szCs w:val="21"/>
              </w:rPr>
            </w:pPr>
            <w:r>
              <w:rPr>
                <w:rFonts w:hint="eastAsia"/>
                <w:color w:val="auto"/>
                <w:sz w:val="21"/>
                <w:szCs w:val="21"/>
              </w:rPr>
              <w:t>*</w:t>
            </w:r>
          </w:p>
        </w:tc>
        <w:tc>
          <w:tcPr>
            <w:tcW w:w="2551" w:type="dxa"/>
            <w:shd w:val="clear" w:color="auto" w:fill="auto"/>
            <w:vAlign w:val="center"/>
          </w:tcPr>
          <w:p>
            <w:pPr>
              <w:widowControl/>
              <w:jc w:val="center"/>
              <w:rPr>
                <w:color w:val="auto"/>
                <w:kern w:val="0"/>
                <w:sz w:val="21"/>
                <w:szCs w:val="21"/>
              </w:rPr>
            </w:pPr>
            <w:r>
              <w:rPr>
                <w:color w:val="auto"/>
                <w:kern w:val="0"/>
                <w:sz w:val="21"/>
                <w:szCs w:val="21"/>
              </w:rPr>
              <w:t>实际保护表土量</w:t>
            </w:r>
          </w:p>
        </w:tc>
        <w:tc>
          <w:tcPr>
            <w:tcW w:w="992" w:type="dxa"/>
            <w:shd w:val="clear" w:color="auto" w:fill="auto"/>
            <w:vAlign w:val="center"/>
          </w:tcPr>
          <w:p>
            <w:pPr>
              <w:widowControl/>
              <w:jc w:val="center"/>
              <w:rPr>
                <w:color w:val="auto"/>
                <w:kern w:val="0"/>
                <w:sz w:val="21"/>
                <w:szCs w:val="21"/>
              </w:rPr>
            </w:pPr>
            <w:r>
              <w:rPr>
                <w:color w:val="auto"/>
                <w:kern w:val="0"/>
                <w:sz w:val="21"/>
                <w:szCs w:val="21"/>
              </w:rPr>
              <w:t>万m</w:t>
            </w:r>
            <w:r>
              <w:rPr>
                <w:color w:val="auto"/>
                <w:kern w:val="0"/>
                <w:sz w:val="21"/>
                <w:szCs w:val="21"/>
                <w:vertAlign w:val="superscript"/>
              </w:rPr>
              <w:t>3</w:t>
            </w:r>
          </w:p>
        </w:tc>
        <w:tc>
          <w:tcPr>
            <w:tcW w:w="851" w:type="dxa"/>
            <w:shd w:val="clear" w:color="auto" w:fill="auto"/>
            <w:vAlign w:val="center"/>
          </w:tcPr>
          <w:p>
            <w:pPr>
              <w:widowControl/>
              <w:jc w:val="center"/>
              <w:rPr>
                <w:color w:val="auto"/>
                <w:kern w:val="0"/>
                <w:sz w:val="21"/>
                <w:szCs w:val="21"/>
              </w:rPr>
            </w:pPr>
            <w:r>
              <w:rPr>
                <w:rFonts w:hint="eastAsia"/>
                <w:color w:val="auto"/>
                <w:kern w:val="0"/>
                <w:sz w:val="21"/>
                <w:szCs w:val="21"/>
              </w:rPr>
              <w:t>*</w:t>
            </w:r>
          </w:p>
        </w:tc>
        <w:tc>
          <w:tcPr>
            <w:tcW w:w="889" w:type="dxa"/>
            <w:vMerge w:val="restart"/>
            <w:shd w:val="clear" w:color="auto" w:fill="auto"/>
            <w:vAlign w:val="center"/>
          </w:tcPr>
          <w:p>
            <w:pPr>
              <w:jc w:val="center"/>
              <w:rPr>
                <w:color w:val="auto"/>
                <w:sz w:val="21"/>
                <w:szCs w:val="21"/>
              </w:rPr>
            </w:pPr>
            <w:r>
              <w:rPr>
                <w:rFonts w:hint="eastAsia"/>
                <w:color w:val="auto"/>
                <w:sz w:val="21"/>
                <w:szCs w:val="21"/>
              </w:rPr>
              <w:t>*</w:t>
            </w:r>
          </w:p>
        </w:tc>
        <w:tc>
          <w:tcPr>
            <w:tcW w:w="1074" w:type="dxa"/>
            <w:vMerge w:val="restart"/>
            <w:shd w:val="clear" w:color="auto" w:fill="auto"/>
            <w:vAlign w:val="center"/>
          </w:tcPr>
          <w:p>
            <w:pPr>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continue"/>
            <w:shd w:val="clear" w:color="auto" w:fill="auto"/>
            <w:vAlign w:val="center"/>
          </w:tcPr>
          <w:p>
            <w:pPr>
              <w:jc w:val="center"/>
              <w:rPr>
                <w:color w:val="auto"/>
                <w:sz w:val="21"/>
                <w:szCs w:val="21"/>
              </w:rPr>
            </w:pPr>
          </w:p>
        </w:tc>
        <w:tc>
          <w:tcPr>
            <w:tcW w:w="851" w:type="dxa"/>
            <w:vMerge w:val="continue"/>
            <w:shd w:val="clear" w:color="auto" w:fill="auto"/>
            <w:vAlign w:val="center"/>
          </w:tcPr>
          <w:p>
            <w:pPr>
              <w:jc w:val="center"/>
              <w:rPr>
                <w:color w:val="auto"/>
                <w:sz w:val="21"/>
                <w:szCs w:val="21"/>
              </w:rPr>
            </w:pPr>
          </w:p>
        </w:tc>
        <w:tc>
          <w:tcPr>
            <w:tcW w:w="2551" w:type="dxa"/>
            <w:shd w:val="clear" w:color="auto" w:fill="auto"/>
            <w:vAlign w:val="center"/>
          </w:tcPr>
          <w:p>
            <w:pPr>
              <w:widowControl/>
              <w:jc w:val="center"/>
              <w:rPr>
                <w:color w:val="auto"/>
                <w:kern w:val="0"/>
                <w:sz w:val="21"/>
                <w:szCs w:val="21"/>
              </w:rPr>
            </w:pPr>
            <w:r>
              <w:rPr>
                <w:color w:val="auto"/>
                <w:kern w:val="0"/>
                <w:sz w:val="21"/>
                <w:szCs w:val="21"/>
              </w:rPr>
              <w:t>可剥离表土量</w:t>
            </w:r>
          </w:p>
        </w:tc>
        <w:tc>
          <w:tcPr>
            <w:tcW w:w="992" w:type="dxa"/>
            <w:shd w:val="clear" w:color="auto" w:fill="auto"/>
            <w:vAlign w:val="center"/>
          </w:tcPr>
          <w:p>
            <w:pPr>
              <w:widowControl/>
              <w:jc w:val="center"/>
              <w:rPr>
                <w:color w:val="auto"/>
                <w:kern w:val="0"/>
                <w:sz w:val="21"/>
                <w:szCs w:val="21"/>
              </w:rPr>
            </w:pPr>
            <w:r>
              <w:rPr>
                <w:color w:val="auto"/>
                <w:kern w:val="0"/>
                <w:sz w:val="21"/>
                <w:szCs w:val="21"/>
              </w:rPr>
              <w:t>万m</w:t>
            </w:r>
            <w:r>
              <w:rPr>
                <w:color w:val="auto"/>
                <w:kern w:val="0"/>
                <w:sz w:val="21"/>
                <w:szCs w:val="21"/>
                <w:vertAlign w:val="superscript"/>
              </w:rPr>
              <w:t>3</w:t>
            </w:r>
          </w:p>
        </w:tc>
        <w:tc>
          <w:tcPr>
            <w:tcW w:w="851" w:type="dxa"/>
            <w:shd w:val="clear" w:color="auto" w:fill="auto"/>
            <w:vAlign w:val="center"/>
          </w:tcPr>
          <w:p>
            <w:pPr>
              <w:widowControl/>
              <w:jc w:val="center"/>
              <w:rPr>
                <w:color w:val="auto"/>
                <w:kern w:val="0"/>
                <w:sz w:val="21"/>
                <w:szCs w:val="21"/>
              </w:rPr>
            </w:pPr>
            <w:r>
              <w:rPr>
                <w:rFonts w:hint="eastAsia"/>
                <w:color w:val="auto"/>
                <w:kern w:val="0"/>
                <w:sz w:val="21"/>
                <w:szCs w:val="21"/>
              </w:rPr>
              <w:t>*</w:t>
            </w:r>
          </w:p>
        </w:tc>
        <w:tc>
          <w:tcPr>
            <w:tcW w:w="889" w:type="dxa"/>
            <w:vMerge w:val="continue"/>
            <w:shd w:val="clear" w:color="auto" w:fill="auto"/>
            <w:vAlign w:val="center"/>
          </w:tcPr>
          <w:p>
            <w:pPr>
              <w:jc w:val="center"/>
              <w:rPr>
                <w:color w:val="auto"/>
                <w:sz w:val="21"/>
                <w:szCs w:val="21"/>
              </w:rPr>
            </w:pPr>
          </w:p>
        </w:tc>
        <w:tc>
          <w:tcPr>
            <w:tcW w:w="1074" w:type="dxa"/>
            <w:vMerge w:val="continue"/>
            <w:shd w:val="clear" w:color="auto" w:fill="auto"/>
            <w:vAlign w:val="center"/>
          </w:tcPr>
          <w:p>
            <w:pPr>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restart"/>
            <w:shd w:val="clear" w:color="auto" w:fill="auto"/>
            <w:vAlign w:val="center"/>
          </w:tcPr>
          <w:p>
            <w:pPr>
              <w:widowControl/>
              <w:jc w:val="center"/>
              <w:rPr>
                <w:color w:val="auto"/>
                <w:kern w:val="0"/>
                <w:sz w:val="21"/>
                <w:szCs w:val="21"/>
              </w:rPr>
            </w:pPr>
            <w:r>
              <w:rPr>
                <w:color w:val="auto"/>
                <w:kern w:val="0"/>
                <w:sz w:val="21"/>
                <w:szCs w:val="21"/>
              </w:rPr>
              <w:t>林草植被恢复率（%）</w:t>
            </w:r>
          </w:p>
        </w:tc>
        <w:tc>
          <w:tcPr>
            <w:tcW w:w="851" w:type="dxa"/>
            <w:vMerge w:val="restart"/>
            <w:shd w:val="clear" w:color="auto" w:fill="auto"/>
            <w:vAlign w:val="center"/>
          </w:tcPr>
          <w:p>
            <w:pPr>
              <w:widowControl/>
              <w:jc w:val="center"/>
              <w:rPr>
                <w:color w:val="auto"/>
                <w:kern w:val="0"/>
                <w:sz w:val="21"/>
                <w:szCs w:val="21"/>
              </w:rPr>
            </w:pPr>
            <w:r>
              <w:rPr>
                <w:color w:val="auto"/>
                <w:kern w:val="0"/>
                <w:sz w:val="21"/>
                <w:szCs w:val="21"/>
              </w:rPr>
              <w:t>97</w:t>
            </w:r>
          </w:p>
        </w:tc>
        <w:tc>
          <w:tcPr>
            <w:tcW w:w="2551" w:type="dxa"/>
            <w:shd w:val="clear" w:color="auto" w:fill="auto"/>
            <w:vAlign w:val="center"/>
          </w:tcPr>
          <w:p>
            <w:pPr>
              <w:widowControl/>
              <w:jc w:val="center"/>
              <w:rPr>
                <w:color w:val="auto"/>
                <w:kern w:val="0"/>
                <w:sz w:val="21"/>
                <w:szCs w:val="21"/>
              </w:rPr>
            </w:pPr>
            <w:r>
              <w:rPr>
                <w:color w:val="auto"/>
                <w:kern w:val="0"/>
                <w:sz w:val="21"/>
                <w:szCs w:val="21"/>
              </w:rPr>
              <w:t>林草植被恢复的面积</w:t>
            </w:r>
          </w:p>
        </w:tc>
        <w:tc>
          <w:tcPr>
            <w:tcW w:w="992" w:type="dxa"/>
            <w:shd w:val="clear" w:color="auto" w:fill="auto"/>
            <w:vAlign w:val="center"/>
          </w:tcPr>
          <w:p>
            <w:pPr>
              <w:widowControl/>
              <w:jc w:val="center"/>
              <w:rPr>
                <w:color w:val="auto"/>
                <w:kern w:val="0"/>
                <w:sz w:val="21"/>
                <w:szCs w:val="21"/>
              </w:rPr>
            </w:pPr>
            <w:r>
              <w:rPr>
                <w:color w:val="auto"/>
                <w:kern w:val="0"/>
                <w:sz w:val="21"/>
                <w:szCs w:val="21"/>
              </w:rPr>
              <w:t>hm</w:t>
            </w:r>
            <w:r>
              <w:rPr>
                <w:color w:val="auto"/>
                <w:kern w:val="0"/>
                <w:sz w:val="21"/>
                <w:szCs w:val="21"/>
                <w:vertAlign w:val="superscript"/>
              </w:rPr>
              <w:t>2</w:t>
            </w:r>
          </w:p>
        </w:tc>
        <w:tc>
          <w:tcPr>
            <w:tcW w:w="851" w:type="dxa"/>
            <w:shd w:val="clear" w:color="auto" w:fill="auto"/>
            <w:vAlign w:val="center"/>
          </w:tcPr>
          <w:p>
            <w:pPr>
              <w:jc w:val="center"/>
              <w:rPr>
                <w:color w:val="auto"/>
                <w:sz w:val="21"/>
                <w:szCs w:val="21"/>
              </w:rPr>
            </w:pPr>
            <w:r>
              <w:rPr>
                <w:color w:val="auto"/>
                <w:sz w:val="21"/>
                <w:szCs w:val="21"/>
              </w:rPr>
              <w:t>2.79</w:t>
            </w:r>
          </w:p>
        </w:tc>
        <w:tc>
          <w:tcPr>
            <w:tcW w:w="889" w:type="dxa"/>
            <w:vMerge w:val="restart"/>
            <w:shd w:val="clear" w:color="auto" w:fill="auto"/>
            <w:vAlign w:val="center"/>
          </w:tcPr>
          <w:p>
            <w:pPr>
              <w:jc w:val="center"/>
              <w:rPr>
                <w:color w:val="auto"/>
                <w:sz w:val="21"/>
                <w:szCs w:val="21"/>
              </w:rPr>
            </w:pPr>
            <w:r>
              <w:rPr>
                <w:color w:val="auto"/>
                <w:sz w:val="21"/>
                <w:szCs w:val="21"/>
              </w:rPr>
              <w:t>99.64</w:t>
            </w:r>
          </w:p>
        </w:tc>
        <w:tc>
          <w:tcPr>
            <w:tcW w:w="1074" w:type="dxa"/>
            <w:vMerge w:val="restart"/>
            <w:shd w:val="clear" w:color="auto" w:fill="auto"/>
            <w:vAlign w:val="center"/>
          </w:tcPr>
          <w:p>
            <w:pPr>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continue"/>
            <w:shd w:val="clear" w:color="auto" w:fill="auto"/>
            <w:vAlign w:val="center"/>
          </w:tcPr>
          <w:p>
            <w:pPr>
              <w:jc w:val="center"/>
              <w:rPr>
                <w:color w:val="auto"/>
                <w:sz w:val="21"/>
                <w:szCs w:val="21"/>
              </w:rPr>
            </w:pPr>
          </w:p>
        </w:tc>
        <w:tc>
          <w:tcPr>
            <w:tcW w:w="851" w:type="dxa"/>
            <w:vMerge w:val="continue"/>
            <w:shd w:val="clear" w:color="auto" w:fill="auto"/>
            <w:vAlign w:val="center"/>
          </w:tcPr>
          <w:p>
            <w:pPr>
              <w:jc w:val="center"/>
              <w:rPr>
                <w:color w:val="auto"/>
                <w:sz w:val="21"/>
                <w:szCs w:val="21"/>
              </w:rPr>
            </w:pPr>
          </w:p>
        </w:tc>
        <w:tc>
          <w:tcPr>
            <w:tcW w:w="2551" w:type="dxa"/>
            <w:shd w:val="clear" w:color="auto" w:fill="auto"/>
            <w:vAlign w:val="center"/>
          </w:tcPr>
          <w:p>
            <w:pPr>
              <w:widowControl/>
              <w:jc w:val="center"/>
              <w:rPr>
                <w:color w:val="auto"/>
                <w:kern w:val="0"/>
                <w:sz w:val="21"/>
                <w:szCs w:val="21"/>
              </w:rPr>
            </w:pPr>
            <w:r>
              <w:rPr>
                <w:color w:val="auto"/>
                <w:kern w:val="0"/>
                <w:sz w:val="21"/>
                <w:szCs w:val="21"/>
              </w:rPr>
              <w:t>可恢复林草植被面积</w:t>
            </w:r>
          </w:p>
        </w:tc>
        <w:tc>
          <w:tcPr>
            <w:tcW w:w="992" w:type="dxa"/>
            <w:shd w:val="clear" w:color="auto" w:fill="auto"/>
            <w:vAlign w:val="center"/>
          </w:tcPr>
          <w:p>
            <w:pPr>
              <w:widowControl/>
              <w:jc w:val="center"/>
              <w:rPr>
                <w:color w:val="auto"/>
                <w:kern w:val="0"/>
                <w:sz w:val="21"/>
                <w:szCs w:val="21"/>
              </w:rPr>
            </w:pPr>
            <w:r>
              <w:rPr>
                <w:color w:val="auto"/>
                <w:kern w:val="0"/>
                <w:sz w:val="21"/>
                <w:szCs w:val="21"/>
              </w:rPr>
              <w:t>hm</w:t>
            </w:r>
            <w:r>
              <w:rPr>
                <w:color w:val="auto"/>
                <w:kern w:val="0"/>
                <w:sz w:val="21"/>
                <w:szCs w:val="21"/>
                <w:vertAlign w:val="superscript"/>
              </w:rPr>
              <w:t>2</w:t>
            </w:r>
          </w:p>
        </w:tc>
        <w:tc>
          <w:tcPr>
            <w:tcW w:w="851" w:type="dxa"/>
            <w:shd w:val="clear" w:color="auto" w:fill="auto"/>
            <w:vAlign w:val="center"/>
          </w:tcPr>
          <w:p>
            <w:pPr>
              <w:jc w:val="center"/>
              <w:rPr>
                <w:color w:val="auto"/>
                <w:sz w:val="21"/>
                <w:szCs w:val="21"/>
              </w:rPr>
            </w:pPr>
            <w:r>
              <w:rPr>
                <w:color w:val="auto"/>
                <w:sz w:val="21"/>
                <w:szCs w:val="21"/>
              </w:rPr>
              <w:t>2.80</w:t>
            </w:r>
          </w:p>
        </w:tc>
        <w:tc>
          <w:tcPr>
            <w:tcW w:w="889" w:type="dxa"/>
            <w:vMerge w:val="continue"/>
            <w:shd w:val="clear" w:color="auto" w:fill="auto"/>
            <w:vAlign w:val="center"/>
          </w:tcPr>
          <w:p>
            <w:pPr>
              <w:jc w:val="center"/>
              <w:rPr>
                <w:color w:val="auto"/>
                <w:sz w:val="21"/>
                <w:szCs w:val="21"/>
              </w:rPr>
            </w:pPr>
          </w:p>
        </w:tc>
        <w:tc>
          <w:tcPr>
            <w:tcW w:w="1074" w:type="dxa"/>
            <w:vMerge w:val="continue"/>
            <w:shd w:val="clear" w:color="auto" w:fill="auto"/>
            <w:vAlign w:val="center"/>
          </w:tcPr>
          <w:p>
            <w:pPr>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restart"/>
            <w:shd w:val="clear" w:color="auto" w:fill="auto"/>
            <w:vAlign w:val="center"/>
          </w:tcPr>
          <w:p>
            <w:pPr>
              <w:widowControl/>
              <w:jc w:val="center"/>
              <w:rPr>
                <w:color w:val="auto"/>
                <w:kern w:val="0"/>
                <w:sz w:val="21"/>
                <w:szCs w:val="21"/>
              </w:rPr>
            </w:pPr>
            <w:r>
              <w:rPr>
                <w:color w:val="auto"/>
                <w:kern w:val="0"/>
                <w:sz w:val="21"/>
                <w:szCs w:val="21"/>
              </w:rPr>
              <w:t>林草覆盖率（%）</w:t>
            </w:r>
          </w:p>
        </w:tc>
        <w:tc>
          <w:tcPr>
            <w:tcW w:w="851" w:type="dxa"/>
            <w:vMerge w:val="restart"/>
            <w:shd w:val="clear" w:color="auto" w:fill="auto"/>
            <w:vAlign w:val="center"/>
          </w:tcPr>
          <w:p>
            <w:pPr>
              <w:widowControl/>
              <w:jc w:val="center"/>
              <w:rPr>
                <w:color w:val="auto"/>
                <w:kern w:val="0"/>
                <w:sz w:val="21"/>
                <w:szCs w:val="21"/>
              </w:rPr>
            </w:pPr>
            <w:r>
              <w:rPr>
                <w:color w:val="auto"/>
                <w:kern w:val="0"/>
                <w:sz w:val="21"/>
                <w:szCs w:val="21"/>
              </w:rPr>
              <w:t>25</w:t>
            </w:r>
          </w:p>
        </w:tc>
        <w:tc>
          <w:tcPr>
            <w:tcW w:w="2551" w:type="dxa"/>
            <w:shd w:val="clear" w:color="auto" w:fill="auto"/>
            <w:vAlign w:val="center"/>
          </w:tcPr>
          <w:p>
            <w:pPr>
              <w:widowControl/>
              <w:jc w:val="center"/>
              <w:rPr>
                <w:color w:val="auto"/>
                <w:kern w:val="0"/>
                <w:sz w:val="21"/>
                <w:szCs w:val="21"/>
              </w:rPr>
            </w:pPr>
            <w:r>
              <w:rPr>
                <w:color w:val="auto"/>
                <w:kern w:val="0"/>
                <w:sz w:val="21"/>
                <w:szCs w:val="21"/>
              </w:rPr>
              <w:t>林草植被面积</w:t>
            </w:r>
          </w:p>
        </w:tc>
        <w:tc>
          <w:tcPr>
            <w:tcW w:w="992" w:type="dxa"/>
            <w:shd w:val="clear" w:color="auto" w:fill="auto"/>
            <w:vAlign w:val="center"/>
          </w:tcPr>
          <w:p>
            <w:pPr>
              <w:widowControl/>
              <w:jc w:val="center"/>
              <w:rPr>
                <w:color w:val="auto"/>
                <w:kern w:val="0"/>
                <w:sz w:val="21"/>
                <w:szCs w:val="21"/>
              </w:rPr>
            </w:pPr>
            <w:r>
              <w:rPr>
                <w:color w:val="auto"/>
                <w:kern w:val="0"/>
                <w:sz w:val="21"/>
                <w:szCs w:val="21"/>
              </w:rPr>
              <w:t>hm</w:t>
            </w:r>
            <w:r>
              <w:rPr>
                <w:color w:val="auto"/>
                <w:kern w:val="0"/>
                <w:sz w:val="21"/>
                <w:szCs w:val="21"/>
                <w:vertAlign w:val="superscript"/>
              </w:rPr>
              <w:t>2</w:t>
            </w:r>
          </w:p>
        </w:tc>
        <w:tc>
          <w:tcPr>
            <w:tcW w:w="851" w:type="dxa"/>
            <w:shd w:val="clear" w:color="auto" w:fill="auto"/>
            <w:vAlign w:val="center"/>
          </w:tcPr>
          <w:p>
            <w:pPr>
              <w:widowControl/>
              <w:jc w:val="center"/>
              <w:rPr>
                <w:color w:val="auto"/>
                <w:kern w:val="0"/>
                <w:sz w:val="21"/>
                <w:szCs w:val="21"/>
              </w:rPr>
            </w:pPr>
            <w:r>
              <w:rPr>
                <w:color w:val="auto"/>
                <w:kern w:val="0"/>
                <w:sz w:val="21"/>
                <w:szCs w:val="21"/>
              </w:rPr>
              <w:t>2.79</w:t>
            </w:r>
          </w:p>
        </w:tc>
        <w:tc>
          <w:tcPr>
            <w:tcW w:w="889" w:type="dxa"/>
            <w:vMerge w:val="restart"/>
            <w:shd w:val="clear" w:color="auto" w:fill="auto"/>
            <w:vAlign w:val="center"/>
          </w:tcPr>
          <w:p>
            <w:pPr>
              <w:jc w:val="center"/>
              <w:rPr>
                <w:color w:val="auto"/>
                <w:sz w:val="21"/>
                <w:szCs w:val="21"/>
              </w:rPr>
            </w:pPr>
            <w:r>
              <w:rPr>
                <w:color w:val="auto"/>
                <w:sz w:val="21"/>
                <w:szCs w:val="21"/>
              </w:rPr>
              <w:t>66.59</w:t>
            </w:r>
          </w:p>
        </w:tc>
        <w:tc>
          <w:tcPr>
            <w:tcW w:w="1074" w:type="dxa"/>
            <w:vMerge w:val="restart"/>
            <w:shd w:val="clear" w:color="auto" w:fill="auto"/>
            <w:vAlign w:val="center"/>
          </w:tcPr>
          <w:p>
            <w:pPr>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dxa"/>
            <w:vMerge w:val="continue"/>
            <w:shd w:val="clear" w:color="auto" w:fill="auto"/>
            <w:vAlign w:val="center"/>
          </w:tcPr>
          <w:p>
            <w:pPr>
              <w:jc w:val="center"/>
              <w:rPr>
                <w:color w:val="auto"/>
                <w:sz w:val="21"/>
                <w:szCs w:val="21"/>
              </w:rPr>
            </w:pPr>
          </w:p>
        </w:tc>
        <w:tc>
          <w:tcPr>
            <w:tcW w:w="851" w:type="dxa"/>
            <w:vMerge w:val="continue"/>
            <w:shd w:val="clear" w:color="auto" w:fill="auto"/>
            <w:vAlign w:val="center"/>
          </w:tcPr>
          <w:p>
            <w:pPr>
              <w:jc w:val="center"/>
              <w:rPr>
                <w:color w:val="auto"/>
                <w:sz w:val="21"/>
                <w:szCs w:val="21"/>
              </w:rPr>
            </w:pPr>
          </w:p>
        </w:tc>
        <w:tc>
          <w:tcPr>
            <w:tcW w:w="2551" w:type="dxa"/>
            <w:shd w:val="clear" w:color="auto" w:fill="auto"/>
            <w:vAlign w:val="center"/>
          </w:tcPr>
          <w:p>
            <w:pPr>
              <w:widowControl/>
              <w:jc w:val="center"/>
              <w:rPr>
                <w:color w:val="auto"/>
                <w:kern w:val="0"/>
                <w:sz w:val="21"/>
                <w:szCs w:val="21"/>
              </w:rPr>
            </w:pPr>
            <w:r>
              <w:rPr>
                <w:color w:val="auto"/>
                <w:kern w:val="0"/>
                <w:sz w:val="21"/>
                <w:szCs w:val="21"/>
              </w:rPr>
              <w:t>项目建设区总面积</w:t>
            </w:r>
          </w:p>
        </w:tc>
        <w:tc>
          <w:tcPr>
            <w:tcW w:w="992" w:type="dxa"/>
            <w:shd w:val="clear" w:color="auto" w:fill="auto"/>
            <w:vAlign w:val="center"/>
          </w:tcPr>
          <w:p>
            <w:pPr>
              <w:widowControl/>
              <w:jc w:val="center"/>
              <w:rPr>
                <w:color w:val="auto"/>
                <w:kern w:val="0"/>
                <w:sz w:val="21"/>
                <w:szCs w:val="21"/>
              </w:rPr>
            </w:pPr>
            <w:r>
              <w:rPr>
                <w:color w:val="auto"/>
                <w:kern w:val="0"/>
                <w:sz w:val="21"/>
                <w:szCs w:val="21"/>
              </w:rPr>
              <w:t>hm</w:t>
            </w:r>
            <w:r>
              <w:rPr>
                <w:color w:val="auto"/>
                <w:kern w:val="0"/>
                <w:sz w:val="21"/>
                <w:szCs w:val="21"/>
                <w:vertAlign w:val="superscript"/>
              </w:rPr>
              <w:t>2</w:t>
            </w:r>
          </w:p>
        </w:tc>
        <w:tc>
          <w:tcPr>
            <w:tcW w:w="851" w:type="dxa"/>
            <w:shd w:val="clear" w:color="auto" w:fill="auto"/>
            <w:vAlign w:val="center"/>
          </w:tcPr>
          <w:p>
            <w:pPr>
              <w:widowControl/>
              <w:jc w:val="center"/>
              <w:rPr>
                <w:color w:val="auto"/>
                <w:kern w:val="0"/>
                <w:sz w:val="21"/>
                <w:szCs w:val="21"/>
              </w:rPr>
            </w:pPr>
            <w:r>
              <w:rPr>
                <w:color w:val="auto"/>
                <w:kern w:val="0"/>
                <w:sz w:val="21"/>
                <w:szCs w:val="21"/>
              </w:rPr>
              <w:t>4.19</w:t>
            </w:r>
          </w:p>
        </w:tc>
        <w:tc>
          <w:tcPr>
            <w:tcW w:w="889" w:type="dxa"/>
            <w:vMerge w:val="continue"/>
            <w:shd w:val="clear" w:color="auto" w:fill="auto"/>
            <w:vAlign w:val="center"/>
          </w:tcPr>
          <w:p>
            <w:pPr>
              <w:jc w:val="center"/>
              <w:rPr>
                <w:color w:val="auto"/>
                <w:sz w:val="21"/>
                <w:szCs w:val="21"/>
              </w:rPr>
            </w:pPr>
          </w:p>
        </w:tc>
        <w:tc>
          <w:tcPr>
            <w:tcW w:w="1074" w:type="dxa"/>
            <w:vMerge w:val="continue"/>
            <w:shd w:val="clear" w:color="auto" w:fill="auto"/>
            <w:vAlign w:val="center"/>
          </w:tcPr>
          <w:p>
            <w:pPr>
              <w:jc w:val="center"/>
              <w:rPr>
                <w:color w:val="auto"/>
                <w:sz w:val="21"/>
                <w:szCs w:val="21"/>
              </w:rPr>
            </w:pPr>
          </w:p>
        </w:tc>
      </w:tr>
    </w:tbl>
    <w:p>
      <w:pPr>
        <w:pStyle w:val="32"/>
        <w:adjustRightInd w:val="0"/>
        <w:snapToGrid w:val="0"/>
        <w:ind w:firstLine="480" w:firstLineChars="200"/>
        <w:contextualSpacing/>
        <w:rPr>
          <w:color w:val="auto"/>
          <w:sz w:val="24"/>
        </w:rPr>
        <w:sectPr>
          <w:headerReference r:id="rId17" w:type="default"/>
          <w:footerReference r:id="rId18" w:type="default"/>
          <w:pgSz w:w="11906" w:h="16838"/>
          <w:pgMar w:top="1440" w:right="1800" w:bottom="1440" w:left="1800" w:header="851" w:footer="992" w:gutter="0"/>
          <w:cols w:space="425" w:num="1"/>
          <w:docGrid w:type="lines" w:linePitch="312" w:charSpace="0"/>
        </w:sectPr>
      </w:pPr>
    </w:p>
    <w:p>
      <w:pPr>
        <w:spacing w:line="360" w:lineRule="auto"/>
        <w:contextualSpacing/>
        <w:jc w:val="center"/>
        <w:outlineLvl w:val="0"/>
        <w:rPr>
          <w:b/>
          <w:bCs/>
          <w:color w:val="auto"/>
          <w:sz w:val="36"/>
          <w:szCs w:val="36"/>
        </w:rPr>
      </w:pPr>
      <w:bookmarkStart w:id="210" w:name="_Toc486320452"/>
      <w:bookmarkStart w:id="211" w:name="_Toc521945675"/>
      <w:bookmarkStart w:id="212" w:name="_Toc227309622"/>
      <w:bookmarkStart w:id="213" w:name="_Toc522647745"/>
      <w:bookmarkStart w:id="214" w:name="_Toc145530073"/>
      <w:r>
        <w:rPr>
          <w:b/>
          <w:bCs/>
          <w:color w:val="auto"/>
          <w:sz w:val="36"/>
          <w:szCs w:val="36"/>
        </w:rPr>
        <w:t xml:space="preserve">7 </w:t>
      </w:r>
      <w:bookmarkEnd w:id="210"/>
      <w:bookmarkEnd w:id="211"/>
      <w:bookmarkEnd w:id="212"/>
      <w:bookmarkEnd w:id="213"/>
      <w:r>
        <w:rPr>
          <w:b/>
          <w:bCs/>
          <w:color w:val="auto"/>
          <w:sz w:val="36"/>
          <w:szCs w:val="36"/>
        </w:rPr>
        <w:t>水土保持管理</w:t>
      </w:r>
      <w:bookmarkEnd w:id="214"/>
    </w:p>
    <w:p>
      <w:pPr>
        <w:adjustRightInd w:val="0"/>
        <w:spacing w:line="360" w:lineRule="auto"/>
        <w:ind w:firstLine="480" w:firstLineChars="200"/>
        <w:contextualSpacing/>
        <w:rPr>
          <w:color w:val="auto"/>
          <w:sz w:val="24"/>
        </w:rPr>
      </w:pPr>
      <w:r>
        <w:rPr>
          <w:color w:val="auto"/>
          <w:sz w:val="24"/>
        </w:rPr>
        <w:t>为保证项目水土保持方案顺利实施，工程新增水土流失得到有效控制，项目区周边生态环境良性发展，确保按时保质保量实施批准的水土保持方案，使水土保持发挥最大效益，实施方案确定的防治目标，工程建设单位应在水土保持工程的领导与管理、招投标、后续设计、检查与验收、资金来源及使用等方面制定切实可行的方案，实施保障措施。</w:t>
      </w:r>
    </w:p>
    <w:p>
      <w:pPr>
        <w:spacing w:line="360" w:lineRule="auto"/>
        <w:contextualSpacing/>
        <w:outlineLvl w:val="1"/>
        <w:rPr>
          <w:b/>
          <w:bCs/>
          <w:color w:val="auto"/>
          <w:sz w:val="30"/>
          <w:szCs w:val="30"/>
        </w:rPr>
      </w:pPr>
      <w:bookmarkStart w:id="215" w:name="_Toc320623163"/>
      <w:bookmarkStart w:id="216" w:name="_Toc320625957"/>
      <w:bookmarkStart w:id="217" w:name="_Toc486320453"/>
      <w:bookmarkStart w:id="218" w:name="_Toc145530074"/>
      <w:bookmarkStart w:id="219" w:name="_Toc521945676"/>
      <w:bookmarkStart w:id="220" w:name="_Toc20718"/>
      <w:bookmarkStart w:id="221" w:name="_Toc522647746"/>
      <w:r>
        <w:rPr>
          <w:b/>
          <w:bCs/>
          <w:color w:val="auto"/>
          <w:sz w:val="30"/>
          <w:szCs w:val="30"/>
        </w:rPr>
        <w:t>7.1</w:t>
      </w:r>
      <w:bookmarkEnd w:id="215"/>
      <w:bookmarkEnd w:id="216"/>
      <w:r>
        <w:rPr>
          <w:b/>
          <w:bCs/>
          <w:color w:val="auto"/>
          <w:sz w:val="30"/>
          <w:szCs w:val="30"/>
        </w:rPr>
        <w:t xml:space="preserve"> 组织管理</w:t>
      </w:r>
      <w:bookmarkEnd w:id="217"/>
      <w:bookmarkEnd w:id="218"/>
      <w:bookmarkEnd w:id="219"/>
      <w:bookmarkEnd w:id="220"/>
      <w:bookmarkEnd w:id="221"/>
    </w:p>
    <w:p>
      <w:pPr>
        <w:widowControl/>
        <w:adjustRightInd w:val="0"/>
        <w:spacing w:line="360" w:lineRule="auto"/>
        <w:ind w:firstLine="480" w:firstLineChars="200"/>
        <w:contextualSpacing/>
        <w:rPr>
          <w:color w:val="auto"/>
          <w:kern w:val="0"/>
          <w:sz w:val="24"/>
        </w:rPr>
      </w:pPr>
      <w:bookmarkStart w:id="222" w:name="_Toc320623165"/>
      <w:bookmarkStart w:id="223" w:name="_Toc320625959"/>
      <w:bookmarkStart w:id="224" w:name="_Toc486320454"/>
      <w:r>
        <w:rPr>
          <w:color w:val="auto"/>
          <w:kern w:val="0"/>
          <w:sz w:val="24"/>
        </w:rPr>
        <w:t>本水土保持方案的实施将由项目主要负责人担任领导，并配备一名以上专职技术人员，负责水土保持方案的具体实施。水土保持管理机构主要工作职责如下：</w:t>
      </w:r>
    </w:p>
    <w:p>
      <w:pPr>
        <w:widowControl/>
        <w:adjustRightInd w:val="0"/>
        <w:spacing w:line="360" w:lineRule="auto"/>
        <w:ind w:firstLine="480" w:firstLineChars="200"/>
        <w:contextualSpacing/>
        <w:rPr>
          <w:color w:val="auto"/>
          <w:kern w:val="0"/>
          <w:sz w:val="24"/>
        </w:rPr>
      </w:pPr>
      <w:r>
        <w:rPr>
          <w:rFonts w:hint="eastAsia"/>
          <w:color w:val="auto"/>
          <w:kern w:val="0"/>
          <w:sz w:val="24"/>
        </w:rPr>
        <w:t>1、</w:t>
      </w:r>
      <w:r>
        <w:rPr>
          <w:color w:val="auto"/>
          <w:kern w:val="0"/>
          <w:sz w:val="24"/>
        </w:rPr>
        <w:t>认真贯彻、执行“预防为主、保护优先、全面规划、综合治理、因地制宜、突出重点、科学管理、注重效益”的水土保持工作方针，制定水土保持方案实施、检查、验收的具体办法和要求，组织实施方案提出的各项防治措施。</w:t>
      </w:r>
    </w:p>
    <w:p>
      <w:pPr>
        <w:widowControl/>
        <w:adjustRightInd w:val="0"/>
        <w:spacing w:line="360" w:lineRule="auto"/>
        <w:ind w:firstLine="480" w:firstLineChars="200"/>
        <w:contextualSpacing/>
        <w:rPr>
          <w:color w:val="auto"/>
          <w:kern w:val="0"/>
          <w:sz w:val="24"/>
        </w:rPr>
      </w:pPr>
      <w:r>
        <w:rPr>
          <w:rFonts w:hint="eastAsia"/>
          <w:color w:val="auto"/>
          <w:kern w:val="0"/>
          <w:sz w:val="24"/>
        </w:rPr>
        <w:t>2、</w:t>
      </w:r>
      <w:r>
        <w:rPr>
          <w:color w:val="auto"/>
          <w:kern w:val="0"/>
          <w:sz w:val="24"/>
        </w:rPr>
        <w:t xml:space="preserve">建立水土保持目标责任制，把水土保持列为工程进度、质量考核的内容之一。及时向水行政主管部门报告建设信息，制定水土保持方案详细实施计划。 </w:t>
      </w:r>
    </w:p>
    <w:p>
      <w:pPr>
        <w:widowControl/>
        <w:adjustRightInd w:val="0"/>
        <w:spacing w:line="360" w:lineRule="auto"/>
        <w:ind w:firstLine="480" w:firstLineChars="200"/>
        <w:contextualSpacing/>
        <w:rPr>
          <w:color w:val="auto"/>
          <w:kern w:val="0"/>
          <w:sz w:val="24"/>
        </w:rPr>
      </w:pPr>
      <w:r>
        <w:rPr>
          <w:rFonts w:hint="eastAsia"/>
          <w:color w:val="auto"/>
          <w:kern w:val="0"/>
          <w:sz w:val="24"/>
        </w:rPr>
        <w:t>3、</w:t>
      </w:r>
      <w:r>
        <w:rPr>
          <w:color w:val="auto"/>
          <w:kern w:val="0"/>
          <w:sz w:val="24"/>
        </w:rPr>
        <w:t>工程施工期间，负责与设计、施工、监理单位保持联系，协调好水土保持方案与主体工程的关系，确保水土保持工程的正常开展和顺利进行，并按时竣工，最大限度地减少人为水土流失对生态的破坏。</w:t>
      </w:r>
    </w:p>
    <w:p>
      <w:pPr>
        <w:widowControl/>
        <w:adjustRightInd w:val="0"/>
        <w:spacing w:line="360" w:lineRule="auto"/>
        <w:ind w:firstLine="480" w:firstLineChars="200"/>
        <w:contextualSpacing/>
        <w:rPr>
          <w:color w:val="auto"/>
          <w:kern w:val="0"/>
          <w:sz w:val="24"/>
        </w:rPr>
      </w:pPr>
      <w:r>
        <w:rPr>
          <w:rFonts w:hint="eastAsia"/>
          <w:color w:val="auto"/>
          <w:kern w:val="0"/>
          <w:sz w:val="24"/>
        </w:rPr>
        <w:t>4、</w:t>
      </w:r>
      <w:r>
        <w:rPr>
          <w:color w:val="auto"/>
          <w:kern w:val="0"/>
          <w:sz w:val="24"/>
        </w:rPr>
        <w:t>经常深入工程现场进行检查，掌握工程施工和运行期间的水土流失状况及其防治措施落实情况，为有关部门决策提供第一手资料。</w:t>
      </w:r>
    </w:p>
    <w:p>
      <w:pPr>
        <w:widowControl/>
        <w:adjustRightInd w:val="0"/>
        <w:spacing w:line="360" w:lineRule="auto"/>
        <w:ind w:firstLine="480" w:firstLineChars="200"/>
        <w:contextualSpacing/>
        <w:rPr>
          <w:color w:val="auto"/>
          <w:kern w:val="0"/>
          <w:sz w:val="24"/>
        </w:rPr>
      </w:pPr>
      <w:r>
        <w:rPr>
          <w:rFonts w:hint="eastAsia"/>
          <w:color w:val="auto"/>
          <w:kern w:val="0"/>
          <w:sz w:val="24"/>
        </w:rPr>
        <w:t>5、</w:t>
      </w:r>
      <w:r>
        <w:rPr>
          <w:color w:val="auto"/>
          <w:kern w:val="0"/>
          <w:sz w:val="24"/>
        </w:rPr>
        <w:t>水土保持设施建成后，为保证工程安全和正常运行，充分发挥工程效益，必须制定科学的、切实可行的运行规程。</w:t>
      </w:r>
    </w:p>
    <w:p>
      <w:pPr>
        <w:widowControl/>
        <w:adjustRightInd w:val="0"/>
        <w:spacing w:line="360" w:lineRule="auto"/>
        <w:ind w:firstLine="480" w:firstLineChars="200"/>
        <w:contextualSpacing/>
        <w:rPr>
          <w:color w:val="auto"/>
          <w:kern w:val="0"/>
          <w:sz w:val="24"/>
        </w:rPr>
      </w:pPr>
      <w:r>
        <w:rPr>
          <w:rFonts w:hint="eastAsia"/>
          <w:color w:val="auto"/>
          <w:kern w:val="0"/>
          <w:sz w:val="24"/>
        </w:rPr>
        <w:t>6、</w:t>
      </w:r>
      <w:r>
        <w:rPr>
          <w:color w:val="auto"/>
          <w:kern w:val="0"/>
          <w:sz w:val="24"/>
        </w:rPr>
        <w:t>建立、健全各项档案，积累、分析、整编资料，总结经验，不断改进水土保持治理方法。</w:t>
      </w:r>
    </w:p>
    <w:p>
      <w:pPr>
        <w:widowControl/>
        <w:adjustRightInd w:val="0"/>
        <w:spacing w:line="360" w:lineRule="auto"/>
        <w:ind w:firstLine="480" w:firstLineChars="200"/>
        <w:contextualSpacing/>
        <w:rPr>
          <w:color w:val="auto"/>
          <w:kern w:val="0"/>
          <w:sz w:val="24"/>
        </w:rPr>
      </w:pPr>
      <w:r>
        <w:rPr>
          <w:rFonts w:hint="eastAsia"/>
          <w:color w:val="auto"/>
          <w:kern w:val="0"/>
          <w:sz w:val="24"/>
        </w:rPr>
        <w:t>7、</w:t>
      </w:r>
      <w:r>
        <w:rPr>
          <w:color w:val="auto"/>
          <w:kern w:val="0"/>
          <w:sz w:val="24"/>
        </w:rPr>
        <w:t>加强管理人员的业务培训和工作业绩考核，必要时开展科学研究和技术革新工作，使工程发挥最佳的经济效益和生态、环境效益。</w:t>
      </w:r>
    </w:p>
    <w:p>
      <w:pPr>
        <w:widowControl/>
        <w:adjustRightInd w:val="0"/>
        <w:spacing w:line="360" w:lineRule="auto"/>
        <w:ind w:firstLine="480" w:firstLineChars="200"/>
        <w:contextualSpacing/>
        <w:rPr>
          <w:color w:val="auto"/>
          <w:kern w:val="0"/>
          <w:sz w:val="24"/>
        </w:rPr>
      </w:pPr>
      <w:r>
        <w:rPr>
          <w:rFonts w:hint="eastAsia"/>
          <w:color w:val="auto"/>
          <w:kern w:val="0"/>
          <w:sz w:val="24"/>
        </w:rPr>
        <w:t>8、</w:t>
      </w:r>
      <w:r>
        <w:rPr>
          <w:color w:val="auto"/>
          <w:kern w:val="0"/>
          <w:sz w:val="24"/>
        </w:rPr>
        <w:t>负责资金的筹集和合理使用，专款专用，务必保证水土保持资金的足额到位。</w:t>
      </w:r>
    </w:p>
    <w:p>
      <w:pPr>
        <w:widowControl/>
        <w:adjustRightInd w:val="0"/>
        <w:spacing w:line="360" w:lineRule="auto"/>
        <w:ind w:firstLine="480" w:firstLineChars="200"/>
        <w:contextualSpacing/>
        <w:rPr>
          <w:color w:val="auto"/>
          <w:kern w:val="0"/>
          <w:sz w:val="24"/>
        </w:rPr>
      </w:pPr>
      <w:r>
        <w:rPr>
          <w:rFonts w:hint="eastAsia"/>
          <w:color w:val="auto"/>
          <w:kern w:val="0"/>
          <w:sz w:val="24"/>
        </w:rPr>
        <w:t>9、</w:t>
      </w:r>
      <w:r>
        <w:rPr>
          <w:color w:val="auto"/>
          <w:kern w:val="0"/>
          <w:sz w:val="24"/>
        </w:rPr>
        <w:t>与水土保持监督管理部门及有关各方协调工作，接受水土保持监督管理部门的检查与监督。</w:t>
      </w:r>
    </w:p>
    <w:p>
      <w:pPr>
        <w:widowControl/>
        <w:adjustRightInd w:val="0"/>
        <w:spacing w:line="360" w:lineRule="auto"/>
        <w:ind w:firstLine="480" w:firstLineChars="200"/>
        <w:contextualSpacing/>
        <w:rPr>
          <w:color w:val="auto"/>
          <w:kern w:val="0"/>
          <w:sz w:val="24"/>
        </w:rPr>
      </w:pPr>
      <w:r>
        <w:rPr>
          <w:rFonts w:hint="eastAsia"/>
          <w:color w:val="auto"/>
          <w:kern w:val="0"/>
          <w:sz w:val="24"/>
        </w:rPr>
        <w:t>1</w:t>
      </w:r>
      <w:r>
        <w:rPr>
          <w:color w:val="auto"/>
          <w:kern w:val="0"/>
          <w:sz w:val="24"/>
        </w:rPr>
        <w:t>0</w:t>
      </w:r>
      <w:r>
        <w:rPr>
          <w:rFonts w:hint="eastAsia"/>
          <w:color w:val="auto"/>
          <w:kern w:val="0"/>
          <w:sz w:val="24"/>
        </w:rPr>
        <w:t>、</w:t>
      </w:r>
      <w:r>
        <w:rPr>
          <w:color w:val="auto"/>
          <w:kern w:val="0"/>
          <w:sz w:val="24"/>
        </w:rPr>
        <w:t>工程中的各项水土保持措施与主体工程同时完工，各项治理措施已基本完成。从目前运行情况看，有关水土保持措施布局合理，管理责任较为落实，并取得了一定的水土保持效果，水土保持设施的正常运行有了保证。</w:t>
      </w:r>
    </w:p>
    <w:p>
      <w:pPr>
        <w:widowControl/>
        <w:adjustRightInd w:val="0"/>
        <w:spacing w:line="360" w:lineRule="auto"/>
        <w:ind w:firstLine="480" w:firstLineChars="200"/>
        <w:contextualSpacing/>
        <w:rPr>
          <w:color w:val="auto"/>
          <w:kern w:val="0"/>
          <w:sz w:val="24"/>
        </w:rPr>
      </w:pPr>
      <w:r>
        <w:rPr>
          <w:color w:val="auto"/>
          <w:kern w:val="0"/>
          <w:sz w:val="24"/>
        </w:rPr>
        <w:t>具体管理措施如下：</w:t>
      </w:r>
    </w:p>
    <w:p>
      <w:pPr>
        <w:widowControl/>
        <w:adjustRightInd w:val="0"/>
        <w:spacing w:line="360" w:lineRule="auto"/>
        <w:ind w:firstLine="480" w:firstLineChars="200"/>
        <w:contextualSpacing/>
        <w:rPr>
          <w:color w:val="auto"/>
          <w:kern w:val="0"/>
          <w:sz w:val="24"/>
        </w:rPr>
      </w:pPr>
      <w:r>
        <w:rPr>
          <w:color w:val="auto"/>
          <w:kern w:val="0"/>
          <w:sz w:val="24"/>
        </w:rPr>
        <w:t>（1）管理机构及人员</w:t>
      </w:r>
    </w:p>
    <w:p>
      <w:pPr>
        <w:widowControl/>
        <w:adjustRightInd w:val="0"/>
        <w:spacing w:line="360" w:lineRule="auto"/>
        <w:ind w:firstLine="480" w:firstLineChars="200"/>
        <w:contextualSpacing/>
        <w:rPr>
          <w:color w:val="auto"/>
          <w:kern w:val="0"/>
          <w:sz w:val="24"/>
        </w:rPr>
      </w:pPr>
      <w:r>
        <w:rPr>
          <w:color w:val="auto"/>
          <w:kern w:val="0"/>
          <w:sz w:val="24"/>
        </w:rPr>
        <w:t>在试运行期间，水土保持设施管理维护工作由建设单位负责，安排专人负责水土保持设施的管理工作。</w:t>
      </w:r>
    </w:p>
    <w:p>
      <w:pPr>
        <w:widowControl/>
        <w:adjustRightInd w:val="0"/>
        <w:spacing w:line="360" w:lineRule="auto"/>
        <w:ind w:firstLine="480" w:firstLineChars="200"/>
        <w:contextualSpacing/>
        <w:rPr>
          <w:color w:val="auto"/>
          <w:kern w:val="0"/>
          <w:sz w:val="24"/>
        </w:rPr>
      </w:pPr>
      <w:r>
        <w:rPr>
          <w:color w:val="auto"/>
          <w:kern w:val="0"/>
          <w:sz w:val="24"/>
        </w:rPr>
        <w:t>（2）管理制度</w:t>
      </w:r>
    </w:p>
    <w:p>
      <w:pPr>
        <w:widowControl/>
        <w:adjustRightInd w:val="0"/>
        <w:spacing w:line="360" w:lineRule="auto"/>
        <w:ind w:firstLine="480" w:firstLineChars="200"/>
        <w:contextualSpacing/>
        <w:rPr>
          <w:color w:val="auto"/>
          <w:kern w:val="0"/>
          <w:sz w:val="24"/>
        </w:rPr>
      </w:pPr>
      <w:r>
        <w:rPr>
          <w:color w:val="auto"/>
          <w:kern w:val="0"/>
          <w:sz w:val="24"/>
        </w:rPr>
        <w:t>1）由专人负责对各项水土保持设施进行定期巡查，巡查内容包括嵌草砖、绿化、雨水口等设施的完好程度，并做好巡查记录，记录与水土保持工作有关的事顶。发现特殊情况及时上报处理。</w:t>
      </w:r>
    </w:p>
    <w:p>
      <w:pPr>
        <w:widowControl/>
        <w:adjustRightInd w:val="0"/>
        <w:spacing w:line="360" w:lineRule="auto"/>
        <w:ind w:firstLine="480" w:firstLineChars="200"/>
        <w:contextualSpacing/>
        <w:rPr>
          <w:color w:val="auto"/>
          <w:kern w:val="0"/>
          <w:sz w:val="24"/>
        </w:rPr>
      </w:pPr>
      <w:r>
        <w:rPr>
          <w:color w:val="auto"/>
          <w:kern w:val="0"/>
          <w:sz w:val="24"/>
        </w:rPr>
        <w:t>2）定期对水保持设施运行情况进行总结，以便吸取经验和教训，并将总结资料作为档案文件予以保存。</w:t>
      </w:r>
    </w:p>
    <w:p>
      <w:pPr>
        <w:widowControl/>
        <w:adjustRightInd w:val="0"/>
        <w:spacing w:line="360" w:lineRule="auto"/>
        <w:ind w:firstLine="480" w:firstLineChars="200"/>
        <w:contextualSpacing/>
        <w:rPr>
          <w:color w:val="auto"/>
          <w:kern w:val="0"/>
          <w:sz w:val="24"/>
        </w:rPr>
      </w:pPr>
      <w:r>
        <w:rPr>
          <w:color w:val="auto"/>
          <w:kern w:val="0"/>
          <w:sz w:val="24"/>
        </w:rPr>
        <w:t>（3）运行维护</w:t>
      </w:r>
    </w:p>
    <w:p>
      <w:pPr>
        <w:widowControl/>
        <w:adjustRightInd w:val="0"/>
        <w:spacing w:line="360" w:lineRule="auto"/>
        <w:ind w:firstLine="480" w:firstLineChars="200"/>
        <w:contextualSpacing/>
        <w:rPr>
          <w:color w:val="auto"/>
          <w:kern w:val="0"/>
          <w:sz w:val="24"/>
        </w:rPr>
      </w:pPr>
      <w:r>
        <w:rPr>
          <w:color w:val="auto"/>
          <w:kern w:val="0"/>
          <w:sz w:val="24"/>
        </w:rPr>
        <w:t>运行过程中，发现工程设施遭到破坏或雨季损毁，及时进行维护、加固和改造，以确保工程的安全，控制水土流失。</w:t>
      </w:r>
    </w:p>
    <w:bookmarkEnd w:id="222"/>
    <w:bookmarkEnd w:id="223"/>
    <w:bookmarkEnd w:id="224"/>
    <w:p>
      <w:pPr>
        <w:spacing w:line="360" w:lineRule="auto"/>
        <w:contextualSpacing/>
        <w:outlineLvl w:val="1"/>
        <w:rPr>
          <w:b/>
          <w:bCs/>
          <w:color w:val="auto"/>
          <w:sz w:val="30"/>
          <w:szCs w:val="30"/>
        </w:rPr>
      </w:pPr>
      <w:bookmarkStart w:id="225" w:name="_Toc145530075"/>
      <w:bookmarkStart w:id="226" w:name="_Toc11262"/>
      <w:bookmarkStart w:id="227" w:name="_Toc522647748"/>
      <w:bookmarkStart w:id="228" w:name="_Toc320625960"/>
      <w:bookmarkStart w:id="229" w:name="_Toc486320455"/>
      <w:bookmarkStart w:id="230" w:name="_Toc521945678"/>
      <w:bookmarkStart w:id="231" w:name="_Toc320623166"/>
      <w:r>
        <w:rPr>
          <w:b/>
          <w:bCs/>
          <w:color w:val="auto"/>
          <w:sz w:val="30"/>
          <w:szCs w:val="30"/>
        </w:rPr>
        <w:t>7.2 水土保持监理</w:t>
      </w:r>
      <w:bookmarkEnd w:id="225"/>
    </w:p>
    <w:p>
      <w:pPr>
        <w:spacing w:line="360" w:lineRule="auto"/>
        <w:ind w:firstLine="480" w:firstLineChars="200"/>
        <w:contextualSpacing/>
        <w:rPr>
          <w:color w:val="auto"/>
          <w:sz w:val="24"/>
        </w:rPr>
      </w:pPr>
      <w:r>
        <w:rPr>
          <w:color w:val="auto"/>
          <w:sz w:val="24"/>
        </w:rPr>
        <w:t>根据《水利工程建设监理规定》和《水利部关于进一步深化“放管服”改革全面加强水土保持监管的意见》（水保〔2019 〕160 号）规定，凡主体工程开展监理工作的项目，应当按照水土保持监理标准和规范开展水土保持工程施工监理。其中，批复的水土保持方案在实施过程中，必须进行水土保持监理，其监理成果是开发建设项目水土保持设施验收的基础。</w:t>
      </w:r>
    </w:p>
    <w:p>
      <w:pPr>
        <w:spacing w:line="360" w:lineRule="auto"/>
        <w:ind w:firstLine="480" w:firstLineChars="200"/>
        <w:contextualSpacing/>
        <w:rPr>
          <w:color w:val="auto"/>
          <w:sz w:val="24"/>
        </w:rPr>
      </w:pPr>
      <w:r>
        <w:rPr>
          <w:rFonts w:hint="eastAsia"/>
          <w:color w:val="auto"/>
          <w:sz w:val="24"/>
        </w:rPr>
        <w:t>本项目由主体工程代为监理，</w:t>
      </w:r>
      <w:r>
        <w:rPr>
          <w:color w:val="auto"/>
          <w:sz w:val="24"/>
        </w:rPr>
        <w:t>监理单位应派出水土保持专业监理工程师，采取跟踪、旁站等监理方法，对水土保持工程的质量、进度及投资等进行控制，对水土保持工程实行信息管理和合同管理，确保工程如期完成。</w:t>
      </w:r>
    </w:p>
    <w:p>
      <w:pPr>
        <w:spacing w:line="360" w:lineRule="auto"/>
        <w:ind w:firstLine="480" w:firstLineChars="200"/>
        <w:contextualSpacing/>
        <w:rPr>
          <w:color w:val="auto"/>
          <w:sz w:val="24"/>
        </w:rPr>
      </w:pPr>
      <w:r>
        <w:rPr>
          <w:color w:val="auto"/>
          <w:sz w:val="24"/>
        </w:rPr>
        <w:t>水土保持监理主要内容为水土保持工程合同管理，按照合同控制工程建设的投资、工期和质量，并协调有关各方的关系，对水土保持方案实施阶段的招投标工作和水土保持措施施工实施全过程的监理。</w:t>
      </w:r>
    </w:p>
    <w:p>
      <w:pPr>
        <w:spacing w:line="360" w:lineRule="auto"/>
        <w:ind w:firstLine="480" w:firstLineChars="200"/>
        <w:contextualSpacing/>
        <w:rPr>
          <w:color w:val="auto"/>
          <w:sz w:val="24"/>
        </w:rPr>
      </w:pPr>
      <w:r>
        <w:rPr>
          <w:color w:val="auto"/>
          <w:sz w:val="24"/>
        </w:rPr>
        <w:t>施工期水土保持监理的主要任务是组织设计交底和图纸会审；审查承包商提出的施工技术措施、施工进度计划和资金、物质、设备计划等；督促承包商执行工程承包合同，按照国家和行业标准和批复的设计文件施工；监督工程进度和质量，检查安全防护措施；核实完成的工程量；签发工程付款凭证，整理合同文件和技术档案资料；处理违约事件；协助项目法人进行工程各阶段验收。</w:t>
      </w:r>
    </w:p>
    <w:p>
      <w:pPr>
        <w:adjustRightInd w:val="0"/>
        <w:spacing w:line="360" w:lineRule="auto"/>
        <w:ind w:firstLine="480" w:firstLineChars="200"/>
        <w:contextualSpacing/>
        <w:rPr>
          <w:color w:val="auto"/>
          <w:sz w:val="24"/>
        </w:rPr>
      </w:pPr>
      <w:r>
        <w:rPr>
          <w:color w:val="auto"/>
          <w:sz w:val="24"/>
        </w:rPr>
        <w:t>根据《水利部办公厅关于实施生产建设项目水土保持信用监管“两单”制度的通知》（办水保〔2020〕157号），监理单位如有：对施工单位违反规定擅自做出重大变更未予制止和督促整改的；对未批先弃、乱弃乱倒、顺坡溜渣、随意开挖等未予制止和督促整改的；应当列入水土保持“重点关注名单”。在“重点关注名单”公开期内再次发生应当列入“重点关注名单”情形的；作出不实承诺被撤销准许许可决定的；在水土保持方案编制、设计、施工、监测、监理、验收等工作及相关技术成果中弄虚作假，谋取不正当利益的；被实施水土保持行政强制的；拒不执行水土保持行政处罚决定的；法律、法规规定的其他应当列入情形；应当列入水土保持“黑名单”。</w:t>
      </w:r>
    </w:p>
    <w:p>
      <w:pPr>
        <w:spacing w:line="360" w:lineRule="auto"/>
        <w:contextualSpacing/>
        <w:outlineLvl w:val="1"/>
        <w:rPr>
          <w:b/>
          <w:bCs/>
          <w:color w:val="auto"/>
          <w:sz w:val="30"/>
          <w:szCs w:val="30"/>
        </w:rPr>
      </w:pPr>
      <w:bookmarkStart w:id="232" w:name="_Toc145530076"/>
      <w:r>
        <w:rPr>
          <w:b/>
          <w:bCs/>
          <w:color w:val="auto"/>
          <w:sz w:val="30"/>
          <w:szCs w:val="30"/>
        </w:rPr>
        <w:t>7.3水土保持监测</w:t>
      </w:r>
      <w:bookmarkEnd w:id="232"/>
    </w:p>
    <w:p>
      <w:pPr>
        <w:pStyle w:val="32"/>
        <w:contextualSpacing/>
        <w:rPr>
          <w:color w:val="auto"/>
          <w:sz w:val="24"/>
        </w:rPr>
      </w:pPr>
      <w:r>
        <w:rPr>
          <w:color w:val="auto"/>
          <w:sz w:val="24"/>
        </w:rPr>
        <w:t>根据《水利部关于进一步深化“放管服”改革全面加强水土保持监管的意见》（水保2019[160]号），本方案为水土保持方案报告表，可不开展监测工作。</w:t>
      </w:r>
    </w:p>
    <w:p>
      <w:pPr>
        <w:spacing w:line="360" w:lineRule="auto"/>
        <w:contextualSpacing/>
        <w:outlineLvl w:val="1"/>
        <w:rPr>
          <w:b/>
          <w:bCs/>
          <w:color w:val="auto"/>
          <w:sz w:val="30"/>
          <w:szCs w:val="30"/>
        </w:rPr>
      </w:pPr>
      <w:bookmarkStart w:id="233" w:name="_Toc145530077"/>
      <w:r>
        <w:rPr>
          <w:b/>
          <w:bCs/>
          <w:color w:val="auto"/>
          <w:sz w:val="30"/>
          <w:szCs w:val="30"/>
        </w:rPr>
        <w:t>7.4水土保持施工</w:t>
      </w:r>
      <w:bookmarkEnd w:id="226"/>
      <w:bookmarkEnd w:id="227"/>
      <w:bookmarkEnd w:id="228"/>
      <w:bookmarkEnd w:id="229"/>
      <w:bookmarkEnd w:id="230"/>
      <w:bookmarkEnd w:id="231"/>
      <w:bookmarkEnd w:id="233"/>
    </w:p>
    <w:p>
      <w:pPr>
        <w:adjustRightInd w:val="0"/>
        <w:snapToGrid w:val="0"/>
        <w:spacing w:line="360" w:lineRule="auto"/>
        <w:ind w:firstLine="480" w:firstLineChars="200"/>
        <w:contextualSpacing/>
        <w:rPr>
          <w:snapToGrid w:val="0"/>
          <w:color w:val="auto"/>
          <w:kern w:val="0"/>
          <w:sz w:val="24"/>
        </w:rPr>
      </w:pPr>
      <w:bookmarkStart w:id="234" w:name="_Toc522647751"/>
      <w:bookmarkStart w:id="235" w:name="_Toc521945681"/>
      <w:bookmarkStart w:id="236" w:name="_Toc320623169"/>
      <w:bookmarkStart w:id="237" w:name="_Toc320625963"/>
      <w:bookmarkStart w:id="238" w:name="_Toc486320458"/>
      <w:bookmarkStart w:id="239" w:name="_Toc26809"/>
      <w:r>
        <w:rPr>
          <w:snapToGrid w:val="0"/>
          <w:color w:val="auto"/>
          <w:kern w:val="0"/>
          <w:sz w:val="24"/>
        </w:rPr>
        <w:t>水土保持工程与主体工程同时进行施工图设计、同时施工。由具有相应资质的承包商承担水土保持项目的施工任务。工程建设所购料源，在购买合同中应明确水土流失防治责任由供货方负责。</w:t>
      </w:r>
    </w:p>
    <w:p>
      <w:pPr>
        <w:adjustRightInd w:val="0"/>
        <w:snapToGrid w:val="0"/>
        <w:spacing w:line="360" w:lineRule="auto"/>
        <w:ind w:firstLine="480" w:firstLineChars="200"/>
        <w:contextualSpacing/>
        <w:rPr>
          <w:snapToGrid w:val="0"/>
          <w:color w:val="auto"/>
          <w:kern w:val="0"/>
          <w:sz w:val="24"/>
        </w:rPr>
      </w:pPr>
      <w:r>
        <w:rPr>
          <w:color w:val="auto"/>
          <w:sz w:val="24"/>
        </w:rPr>
        <w:t>根据《水利部办公厅关于实施生产建设项目水土保持信用监管“两单”制度的通知》（办水保〔2020〕157号），施工单位如有：水土保持工程、植物、临时措施落实到位不足50%的；未按照监督检查、监理意见要求对未批先弃、乱弃乱倒、顺坡溜渣、随意开挖等问题进行整改的；应当列入水土保持“重点关注名单”。在“重点关注名单”公开期内再次发生应当列入“重点关注名单”情形的；作出不实承诺被撤销准许许可决定的；在水土保持方案编制、设计、施工、监理、验收等工作及相关技术成果中弄虚作假，谋取不正当利益的；被实施水土保持行政强制的；拒不执行水土保持行政处罚决定的；法律、法规规定的其他应当列入情形；应当列入水土保持“黑名单”。</w:t>
      </w:r>
    </w:p>
    <w:p>
      <w:pPr>
        <w:spacing w:line="360" w:lineRule="auto"/>
        <w:contextualSpacing/>
        <w:outlineLvl w:val="1"/>
        <w:rPr>
          <w:b/>
          <w:bCs/>
          <w:color w:val="auto"/>
          <w:sz w:val="30"/>
          <w:szCs w:val="30"/>
        </w:rPr>
      </w:pPr>
      <w:bookmarkStart w:id="240" w:name="_Toc145530078"/>
      <w:r>
        <w:rPr>
          <w:b/>
          <w:bCs/>
          <w:color w:val="auto"/>
          <w:sz w:val="30"/>
          <w:szCs w:val="30"/>
        </w:rPr>
        <w:t>7.5 水土保持设施验收</w:t>
      </w:r>
      <w:bookmarkEnd w:id="234"/>
      <w:bookmarkEnd w:id="235"/>
      <w:bookmarkEnd w:id="236"/>
      <w:bookmarkEnd w:id="237"/>
      <w:bookmarkEnd w:id="238"/>
      <w:bookmarkEnd w:id="239"/>
      <w:bookmarkEnd w:id="240"/>
    </w:p>
    <w:p>
      <w:pPr>
        <w:spacing w:line="360" w:lineRule="auto"/>
        <w:contextualSpacing/>
        <w:outlineLvl w:val="2"/>
        <w:rPr>
          <w:b/>
          <w:bCs/>
          <w:color w:val="auto"/>
          <w:sz w:val="28"/>
          <w:szCs w:val="28"/>
        </w:rPr>
      </w:pPr>
      <w:r>
        <w:rPr>
          <w:b/>
          <w:bCs/>
          <w:color w:val="auto"/>
          <w:sz w:val="28"/>
          <w:szCs w:val="28"/>
        </w:rPr>
        <w:t>7.5.1水土保持监督检查</w:t>
      </w:r>
    </w:p>
    <w:p>
      <w:pPr>
        <w:pStyle w:val="32"/>
        <w:contextualSpacing/>
        <w:rPr>
          <w:color w:val="auto"/>
          <w:kern w:val="0"/>
          <w:sz w:val="24"/>
        </w:rPr>
      </w:pPr>
      <w:r>
        <w:rPr>
          <w:color w:val="auto"/>
          <w:kern w:val="0"/>
          <w:sz w:val="24"/>
        </w:rPr>
        <w:t>当地水行政主管部门依法对水土保持方案的落实情况监督管理。随时有权对对水土保持方案的实施进度、质量、资金落实等情况进行实地监督、检查。在监督方法上可采用建设单位定期汇报与实地检测相结合，必要时采取行政、经济、司法等多种手段促使水土保持方案的完全落实。</w:t>
      </w:r>
    </w:p>
    <w:p>
      <w:pPr>
        <w:widowControl/>
        <w:spacing w:line="360" w:lineRule="auto"/>
        <w:ind w:firstLine="480" w:firstLineChars="200"/>
        <w:contextualSpacing/>
        <w:rPr>
          <w:color w:val="auto"/>
          <w:kern w:val="0"/>
          <w:sz w:val="24"/>
        </w:rPr>
      </w:pPr>
      <w:r>
        <w:rPr>
          <w:color w:val="auto"/>
          <w:kern w:val="0"/>
          <w:sz w:val="24"/>
        </w:rPr>
        <w:t>在方案实施过程中，建设单位应加强与水行政主管部门合作，自觉接受地方水行政主管部门的监督管理。建设单位对水行政主管部门在监督检查中发现的问题应及时处理。工程措施施工时，应对施工质量实时检查，对不符合设计要求或质量要求的工程，责令其重建，直到满足要求为止。植物措施工程施工时，应注意加强植物措施的后期抚育工作，抓好幼苗抚育和管护，清除杂草，确保各种植物的成活率，发挥植物措施的水土保持效益，落实方案确定的各项措施。</w:t>
      </w:r>
    </w:p>
    <w:p>
      <w:pPr>
        <w:spacing w:line="360" w:lineRule="auto"/>
        <w:contextualSpacing/>
        <w:outlineLvl w:val="2"/>
        <w:rPr>
          <w:b/>
          <w:bCs/>
          <w:color w:val="auto"/>
          <w:sz w:val="28"/>
          <w:szCs w:val="28"/>
        </w:rPr>
      </w:pPr>
      <w:r>
        <w:rPr>
          <w:b/>
          <w:bCs/>
          <w:color w:val="auto"/>
          <w:sz w:val="28"/>
          <w:szCs w:val="28"/>
        </w:rPr>
        <w:t>7.5.2水土保持设施验收</w:t>
      </w:r>
    </w:p>
    <w:p>
      <w:pPr>
        <w:widowControl/>
        <w:spacing w:line="360" w:lineRule="auto"/>
        <w:ind w:firstLine="480" w:firstLineChars="200"/>
        <w:contextualSpacing/>
        <w:rPr>
          <w:color w:val="auto"/>
          <w:kern w:val="0"/>
          <w:sz w:val="24"/>
        </w:rPr>
      </w:pPr>
      <w:bookmarkStart w:id="241" w:name="_Toc1028965"/>
      <w:bookmarkStart w:id="242" w:name="_Toc3478983"/>
      <w:bookmarkStart w:id="243" w:name="_Toc1146664"/>
      <w:bookmarkStart w:id="244" w:name="_Toc9502605"/>
      <w:bookmarkStart w:id="245" w:name="_Toc524450762"/>
      <w:bookmarkStart w:id="246" w:name="_Toc10533585"/>
      <w:bookmarkStart w:id="247" w:name="_Toc9351154"/>
      <w:r>
        <w:rPr>
          <w:color w:val="auto"/>
          <w:kern w:val="0"/>
          <w:sz w:val="24"/>
        </w:rPr>
        <w:t>根据《水利部关于加强事中事后监管规范生产建设项目水土保持设施自主验收的通知》（水保〔2017〕365号）及《水利部办公厅关于印发生产建设项目水土保持监督管理办法的通知》（办水保〔2019〕172号），依法编制水土保持方案报告表的生产建设项目投产使用前，建设单位应当根据水土保持方案及其审批决定等，按照《水利部办公厅关于印发生产建设项目水土保持设施自主验收规程（试行）的通知》（办水保〔2018〕133号）组织水土保持设施验收工作，需要至少1名省级水行政主管部门水土保持方案专家库的专家愿意参加并签署意见，验收鉴定书需要明确验收合格与否的结论。</w:t>
      </w:r>
    </w:p>
    <w:p>
      <w:pPr>
        <w:widowControl/>
        <w:spacing w:line="360" w:lineRule="auto"/>
        <w:ind w:firstLine="480" w:firstLineChars="200"/>
        <w:contextualSpacing/>
        <w:rPr>
          <w:color w:val="auto"/>
          <w:kern w:val="0"/>
          <w:sz w:val="24"/>
        </w:rPr>
      </w:pPr>
      <w:r>
        <w:rPr>
          <w:color w:val="auto"/>
          <w:kern w:val="0"/>
          <w:sz w:val="24"/>
        </w:rPr>
        <w:t>建设单位在水土保持设施验收合格后，通过其官方网站或其他便于公众知悉的方式向社会公开水土保持设施验收鉴定书。时间不得少于20个工作日，对于公众反映的主要问题和意见，生产建设单位应当及时给予处理或者回应。</w:t>
      </w:r>
    </w:p>
    <w:p>
      <w:pPr>
        <w:widowControl/>
        <w:spacing w:line="360" w:lineRule="auto"/>
        <w:ind w:firstLine="480" w:firstLineChars="200"/>
        <w:contextualSpacing/>
        <w:rPr>
          <w:color w:val="auto"/>
          <w:kern w:val="0"/>
          <w:sz w:val="24"/>
        </w:rPr>
      </w:pPr>
      <w:r>
        <w:rPr>
          <w:color w:val="auto"/>
          <w:kern w:val="0"/>
          <w:sz w:val="24"/>
        </w:rPr>
        <w:t>建设单位应在向社会公开水土保持设施验收材料后、建设项目投产使用前，向水土保持方案审批机关报备水土保持设施验收材料。报备材料主要为水土保持设施验收鉴定书。建设单位、第三方机构分别对水土保持设施验收鉴定书等材料的真实性负责，除按照国家规定需要保密的情形外。</w:t>
      </w:r>
    </w:p>
    <w:p>
      <w:pPr>
        <w:widowControl/>
        <w:spacing w:line="360" w:lineRule="auto"/>
        <w:ind w:firstLine="480" w:firstLineChars="200"/>
        <w:contextualSpacing/>
        <w:rPr>
          <w:color w:val="auto"/>
          <w:kern w:val="0"/>
          <w:sz w:val="24"/>
        </w:rPr>
      </w:pPr>
      <w:r>
        <w:rPr>
          <w:color w:val="auto"/>
          <w:kern w:val="0"/>
          <w:sz w:val="24"/>
        </w:rPr>
        <w:t>根据《水利部办公厅关于实施生产建设项目水土保持信用监管“两单”制度的通知》（办水保〔2020〕157号），方案技术评审单位如有：因未按规定程序和标准开展技术评审，评审通过的水土保持方案未被准予许可的；验收报告编制单位如有：不满足验收标准和条件而作出验收合格结论的；应当列入水土保持“重点关注名单”。在“重点关注名单”公开期内再次发生应当列入“重点关注名单”情形的；作出不实承诺被撤销准许许可决定的；在水土保持方案编制、设计、施工、监理、验收等工作及相关技术成果中弄虚作假，谋取不正当利益的；被实施水土保持行政强制的；拒不执行水土保持行政处罚决定的；法律、法规规定的其他应当列入情形；应当列入水土保持“黑名单”。</w:t>
      </w:r>
      <w:bookmarkEnd w:id="241"/>
      <w:bookmarkEnd w:id="242"/>
      <w:bookmarkEnd w:id="243"/>
      <w:bookmarkEnd w:id="244"/>
      <w:bookmarkEnd w:id="245"/>
      <w:bookmarkEnd w:id="246"/>
      <w:bookmarkEnd w:id="247"/>
    </w:p>
    <w:p>
      <w:pPr>
        <w:spacing w:line="360" w:lineRule="auto"/>
        <w:contextualSpacing/>
        <w:outlineLvl w:val="1"/>
        <w:rPr>
          <w:b/>
          <w:bCs/>
          <w:color w:val="auto"/>
          <w:sz w:val="30"/>
          <w:szCs w:val="30"/>
        </w:rPr>
      </w:pPr>
      <w:bookmarkStart w:id="248" w:name="_Toc145530079"/>
      <w:r>
        <w:rPr>
          <w:b/>
          <w:bCs/>
          <w:color w:val="auto"/>
          <w:sz w:val="30"/>
          <w:szCs w:val="30"/>
        </w:rPr>
        <w:t>7.6 后续设计</w:t>
      </w:r>
      <w:bookmarkEnd w:id="248"/>
    </w:p>
    <w:p>
      <w:pPr>
        <w:pStyle w:val="32"/>
        <w:contextualSpacing/>
        <w:rPr>
          <w:color w:val="auto"/>
          <w:sz w:val="24"/>
        </w:rPr>
      </w:pPr>
      <w:r>
        <w:rPr>
          <w:color w:val="auto"/>
          <w:sz w:val="24"/>
        </w:rPr>
        <w:t>水土保持方案经批准后，生产建设项目地点、规模发生重大变化，根据《水利部办公厅关于印发〈水利部生产建设项目水土保持方案变更管理规定（试行）〉的通知》（办水保[2016]65号）和《黑龙江省水土保持条例》，生产建设单位应当及时补充、修改水土保持方案，并报原审批机关批准。</w:t>
      </w:r>
    </w:p>
    <w:p>
      <w:pPr>
        <w:pStyle w:val="32"/>
        <w:contextualSpacing/>
        <w:rPr>
          <w:color w:val="auto"/>
          <w:sz w:val="24"/>
        </w:rPr>
        <w:sectPr>
          <w:headerReference r:id="rId19" w:type="default"/>
          <w:footerReference r:id="rId20" w:type="default"/>
          <w:pgSz w:w="11906" w:h="16838"/>
          <w:pgMar w:top="1440" w:right="1800" w:bottom="1440" w:left="1800" w:header="851" w:footer="992" w:gutter="0"/>
          <w:cols w:space="425" w:num="1"/>
          <w:docGrid w:type="lines" w:linePitch="312" w:charSpace="0"/>
        </w:sectPr>
      </w:pPr>
      <w:r>
        <w:rPr>
          <w:rFonts w:hint="eastAsia"/>
          <w:color w:val="auto"/>
          <w:sz w:val="24"/>
        </w:rPr>
        <w:t>本项目属补报方案，本方案编制时已完成</w:t>
      </w:r>
      <w:r>
        <w:rPr>
          <w:color w:val="auto"/>
          <w:sz w:val="24"/>
        </w:rPr>
        <w:t>水土保持初步设计和施工图设计。</w:t>
      </w:r>
    </w:p>
    <w:p>
      <w:pPr>
        <w:autoSpaceDE w:val="0"/>
        <w:autoSpaceDN w:val="0"/>
        <w:spacing w:before="48"/>
        <w:ind w:left="140"/>
        <w:contextualSpacing/>
        <w:jc w:val="left"/>
        <w:rPr>
          <w:b/>
          <w:color w:val="auto"/>
          <w:kern w:val="0"/>
          <w:sz w:val="30"/>
          <w:szCs w:val="22"/>
        </w:rPr>
      </w:pPr>
      <w:r>
        <w:rPr>
          <w:b/>
          <w:color w:val="auto"/>
          <w:kern w:val="0"/>
          <w:sz w:val="30"/>
          <w:szCs w:val="22"/>
        </w:rPr>
        <w:t>附表</w:t>
      </w:r>
    </w:p>
    <w:p>
      <w:pPr>
        <w:tabs>
          <w:tab w:val="left" w:pos="1053"/>
        </w:tabs>
        <w:autoSpaceDE w:val="0"/>
        <w:autoSpaceDN w:val="0"/>
        <w:spacing w:before="73"/>
        <w:ind w:right="19"/>
        <w:contextualSpacing/>
        <w:jc w:val="center"/>
        <w:rPr>
          <w:b/>
          <w:color w:val="auto"/>
          <w:kern w:val="0"/>
          <w:sz w:val="24"/>
        </w:rPr>
      </w:pPr>
      <w:r>
        <w:rPr>
          <w:b/>
          <w:color w:val="auto"/>
          <w:kern w:val="0"/>
          <w:sz w:val="24"/>
        </w:rPr>
        <w:t>单价分析表</w:t>
      </w:r>
    </w:p>
    <w:tbl>
      <w:tblPr>
        <w:tblStyle w:val="108"/>
        <w:tblW w:w="83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5"/>
        <w:gridCol w:w="2492"/>
        <w:gridCol w:w="745"/>
        <w:gridCol w:w="745"/>
        <w:gridCol w:w="1799"/>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8336" w:type="dxa"/>
            <w:gridSpan w:val="6"/>
          </w:tcPr>
          <w:p>
            <w:pPr>
              <w:tabs>
                <w:tab w:val="left" w:pos="4113"/>
                <w:tab w:val="left" w:pos="6278"/>
              </w:tabs>
              <w:autoSpaceDE w:val="0"/>
              <w:autoSpaceDN w:val="0"/>
              <w:spacing w:before="24"/>
              <w:ind w:left="230"/>
              <w:contextualSpacing/>
              <w:jc w:val="left"/>
              <w:rPr>
                <w:rFonts w:ascii="Times New Roman" w:hAnsi="Times New Roman"/>
                <w:b/>
                <w:color w:val="auto"/>
                <w:kern w:val="0"/>
                <w:sz w:val="21"/>
                <w:szCs w:val="21"/>
                <w:lang w:eastAsia="zh-CN"/>
              </w:rPr>
            </w:pPr>
            <w:r>
              <w:rPr>
                <w:rFonts w:ascii="Times New Roman" w:hAnsi="Times New Roman"/>
                <w:b/>
                <w:color w:val="auto"/>
                <w:kern w:val="0"/>
                <w:sz w:val="21"/>
                <w:szCs w:val="21"/>
                <w:lang w:eastAsia="zh-CN"/>
              </w:rPr>
              <w:t>定额编号：[03005]</w:t>
            </w:r>
            <w:r>
              <w:rPr>
                <w:rFonts w:ascii="Times New Roman" w:hAnsi="Times New Roman"/>
                <w:b/>
                <w:color w:val="auto"/>
                <w:kern w:val="0"/>
                <w:sz w:val="21"/>
                <w:szCs w:val="21"/>
                <w:lang w:eastAsia="zh-CN"/>
              </w:rPr>
              <w:tab/>
            </w:r>
            <w:r>
              <w:rPr>
                <w:rFonts w:hint="eastAsia" w:ascii="Times New Roman" w:hAnsi="Times New Roman"/>
                <w:b/>
                <w:color w:val="auto"/>
                <w:kern w:val="0"/>
                <w:sz w:val="21"/>
                <w:szCs w:val="21"/>
                <w:lang w:eastAsia="zh-CN"/>
              </w:rPr>
              <w:t>苫盖</w:t>
            </w:r>
            <w:r>
              <w:rPr>
                <w:rFonts w:ascii="Times New Roman" w:hAnsi="Times New Roman"/>
                <w:b/>
                <w:color w:val="auto"/>
                <w:kern w:val="0"/>
                <w:sz w:val="21"/>
                <w:szCs w:val="21"/>
                <w:lang w:eastAsia="zh-CN"/>
              </w:rPr>
              <w:tab/>
            </w:r>
            <w:r>
              <w:rPr>
                <w:rFonts w:ascii="Times New Roman" w:hAnsi="Times New Roman"/>
                <w:b/>
                <w:color w:val="auto"/>
                <w:kern w:val="0"/>
                <w:sz w:val="21"/>
                <w:szCs w:val="21"/>
                <w:lang w:eastAsia="zh-CN"/>
              </w:rPr>
              <w:t>定额单位：100m</w:t>
            </w:r>
            <w:r>
              <w:rPr>
                <w:rFonts w:ascii="Times New Roman" w:hAnsi="Times New Roman"/>
                <w:b/>
                <w:color w:val="auto"/>
                <w:kern w:val="0"/>
                <w:position w:val="8"/>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745" w:type="dxa"/>
          </w:tcPr>
          <w:p>
            <w:pPr>
              <w:autoSpaceDE w:val="0"/>
              <w:autoSpaceDN w:val="0"/>
              <w:spacing w:before="17" w:line="290" w:lineRule="exact"/>
              <w:ind w:left="111" w:right="92"/>
              <w:contextualSpacing/>
              <w:jc w:val="center"/>
              <w:rPr>
                <w:rFonts w:ascii="Times New Roman" w:hAnsi="Times New Roman"/>
                <w:b/>
                <w:color w:val="auto"/>
                <w:kern w:val="0"/>
                <w:sz w:val="21"/>
                <w:szCs w:val="21"/>
                <w:lang w:eastAsia="en-US"/>
              </w:rPr>
            </w:pPr>
            <w:r>
              <w:rPr>
                <w:rFonts w:ascii="Times New Roman" w:hAnsi="Times New Roman"/>
                <w:b/>
                <w:color w:val="auto"/>
                <w:kern w:val="0"/>
                <w:sz w:val="21"/>
                <w:szCs w:val="21"/>
                <w:lang w:eastAsia="en-US"/>
              </w:rPr>
              <w:t>编号</w:t>
            </w:r>
          </w:p>
        </w:tc>
        <w:tc>
          <w:tcPr>
            <w:tcW w:w="2492" w:type="dxa"/>
          </w:tcPr>
          <w:p>
            <w:pPr>
              <w:autoSpaceDE w:val="0"/>
              <w:autoSpaceDN w:val="0"/>
              <w:spacing w:before="17" w:line="290" w:lineRule="exact"/>
              <w:ind w:left="394" w:right="363"/>
              <w:contextualSpacing/>
              <w:jc w:val="center"/>
              <w:rPr>
                <w:rFonts w:ascii="Times New Roman" w:hAnsi="Times New Roman"/>
                <w:b/>
                <w:color w:val="auto"/>
                <w:kern w:val="0"/>
                <w:sz w:val="21"/>
                <w:szCs w:val="21"/>
                <w:lang w:eastAsia="en-US"/>
              </w:rPr>
            </w:pPr>
            <w:r>
              <w:rPr>
                <w:rFonts w:ascii="Times New Roman" w:hAnsi="Times New Roman"/>
                <w:b/>
                <w:color w:val="auto"/>
                <w:kern w:val="0"/>
                <w:sz w:val="21"/>
                <w:szCs w:val="21"/>
                <w:lang w:eastAsia="en-US"/>
              </w:rPr>
              <w:t>名称及规格</w:t>
            </w:r>
          </w:p>
        </w:tc>
        <w:tc>
          <w:tcPr>
            <w:tcW w:w="745" w:type="dxa"/>
          </w:tcPr>
          <w:p>
            <w:pPr>
              <w:autoSpaceDE w:val="0"/>
              <w:autoSpaceDN w:val="0"/>
              <w:spacing w:before="17" w:line="290" w:lineRule="exact"/>
              <w:ind w:left="119" w:right="94"/>
              <w:contextualSpacing/>
              <w:jc w:val="center"/>
              <w:rPr>
                <w:rFonts w:ascii="Times New Roman" w:hAnsi="Times New Roman"/>
                <w:b/>
                <w:color w:val="auto"/>
                <w:kern w:val="0"/>
                <w:sz w:val="21"/>
                <w:szCs w:val="21"/>
                <w:lang w:eastAsia="en-US"/>
              </w:rPr>
            </w:pPr>
            <w:r>
              <w:rPr>
                <w:rFonts w:ascii="Times New Roman" w:hAnsi="Times New Roman"/>
                <w:b/>
                <w:color w:val="auto"/>
                <w:kern w:val="0"/>
                <w:sz w:val="21"/>
                <w:szCs w:val="21"/>
                <w:lang w:eastAsia="en-US"/>
              </w:rPr>
              <w:t>单位</w:t>
            </w:r>
          </w:p>
        </w:tc>
        <w:tc>
          <w:tcPr>
            <w:tcW w:w="745" w:type="dxa"/>
          </w:tcPr>
          <w:p>
            <w:pPr>
              <w:autoSpaceDE w:val="0"/>
              <w:autoSpaceDN w:val="0"/>
              <w:spacing w:before="17" w:line="290" w:lineRule="exact"/>
              <w:ind w:left="141"/>
              <w:contextualSpacing/>
              <w:jc w:val="left"/>
              <w:rPr>
                <w:rFonts w:ascii="Times New Roman" w:hAnsi="Times New Roman"/>
                <w:b/>
                <w:color w:val="auto"/>
                <w:kern w:val="0"/>
                <w:sz w:val="21"/>
                <w:szCs w:val="21"/>
                <w:lang w:eastAsia="en-US"/>
              </w:rPr>
            </w:pPr>
            <w:r>
              <w:rPr>
                <w:rFonts w:ascii="Times New Roman" w:hAnsi="Times New Roman"/>
                <w:b/>
                <w:color w:val="auto"/>
                <w:kern w:val="0"/>
                <w:sz w:val="21"/>
                <w:szCs w:val="21"/>
                <w:lang w:eastAsia="en-US"/>
              </w:rPr>
              <w:t>数量</w:t>
            </w:r>
          </w:p>
        </w:tc>
        <w:tc>
          <w:tcPr>
            <w:tcW w:w="1799" w:type="dxa"/>
          </w:tcPr>
          <w:p>
            <w:pPr>
              <w:autoSpaceDE w:val="0"/>
              <w:autoSpaceDN w:val="0"/>
              <w:spacing w:before="17" w:line="290" w:lineRule="exact"/>
              <w:ind w:left="288" w:right="256"/>
              <w:contextualSpacing/>
              <w:jc w:val="center"/>
              <w:rPr>
                <w:rFonts w:ascii="Times New Roman" w:hAnsi="Times New Roman"/>
                <w:b/>
                <w:color w:val="auto"/>
                <w:kern w:val="0"/>
                <w:sz w:val="21"/>
                <w:szCs w:val="21"/>
                <w:lang w:eastAsia="en-US"/>
              </w:rPr>
            </w:pPr>
            <w:r>
              <w:rPr>
                <w:rFonts w:ascii="Times New Roman" w:hAnsi="Times New Roman"/>
                <w:b/>
                <w:color w:val="auto"/>
                <w:kern w:val="0"/>
                <w:sz w:val="21"/>
                <w:szCs w:val="21"/>
                <w:lang w:eastAsia="en-US"/>
              </w:rPr>
              <w:t>单价（元）</w:t>
            </w:r>
          </w:p>
        </w:tc>
        <w:tc>
          <w:tcPr>
            <w:tcW w:w="1810" w:type="dxa"/>
          </w:tcPr>
          <w:p>
            <w:pPr>
              <w:autoSpaceDE w:val="0"/>
              <w:autoSpaceDN w:val="0"/>
              <w:spacing w:before="17" w:line="290" w:lineRule="exact"/>
              <w:ind w:left="294" w:right="251"/>
              <w:contextualSpacing/>
              <w:jc w:val="center"/>
              <w:rPr>
                <w:rFonts w:ascii="Times New Roman" w:hAnsi="Times New Roman"/>
                <w:b/>
                <w:color w:val="auto"/>
                <w:kern w:val="0"/>
                <w:sz w:val="21"/>
                <w:szCs w:val="21"/>
                <w:lang w:eastAsia="en-US"/>
              </w:rPr>
            </w:pPr>
            <w:r>
              <w:rPr>
                <w:rFonts w:ascii="Times New Roman" w:hAnsi="Times New Roman"/>
                <w:b/>
                <w:color w:val="auto"/>
                <w:kern w:val="0"/>
                <w:sz w:val="21"/>
                <w:szCs w:val="21"/>
                <w:lang w:eastAsia="en-US"/>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2"/>
              <w:ind w:left="19"/>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1</w:t>
            </w:r>
          </w:p>
        </w:tc>
        <w:tc>
          <w:tcPr>
            <w:tcW w:w="2492" w:type="dxa"/>
          </w:tcPr>
          <w:p>
            <w:pPr>
              <w:autoSpaceDE w:val="0"/>
              <w:autoSpaceDN w:val="0"/>
              <w:spacing w:before="18" w:line="307"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直 接 工 程 费</w:t>
            </w: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4"/>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344.30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2"/>
              <w:ind w:left="108" w:right="92"/>
              <w:contextualSpacing/>
              <w:jc w:val="center"/>
              <w:rPr>
                <w:rFonts w:ascii="Times New Roman" w:hAnsi="Times New Roman"/>
                <w:color w:val="auto"/>
                <w:kern w:val="0"/>
                <w:sz w:val="21"/>
                <w:szCs w:val="21"/>
                <w:lang w:eastAsia="en-US"/>
              </w:rPr>
            </w:pPr>
            <w:r>
              <w:rPr>
                <w:rFonts w:hint="eastAsia" w:ascii="Times New Roman" w:hAnsi="Times New Roman"/>
                <w:color w:val="auto"/>
                <w:kern w:val="0"/>
                <w:sz w:val="21"/>
                <w:szCs w:val="21"/>
                <w:lang w:eastAsia="zh-CN"/>
              </w:rPr>
              <w:t>（</w:t>
            </w:r>
            <w:r>
              <w:rPr>
                <w:rFonts w:ascii="Times New Roman" w:hAnsi="Times New Roman"/>
                <w:color w:val="auto"/>
                <w:kern w:val="0"/>
                <w:sz w:val="21"/>
                <w:szCs w:val="21"/>
                <w:lang w:eastAsia="en-US"/>
              </w:rPr>
              <w:t>1</w:t>
            </w:r>
            <w:r>
              <w:rPr>
                <w:rFonts w:hint="eastAsia" w:ascii="Times New Roman" w:hAnsi="Times New Roman"/>
                <w:color w:val="auto"/>
                <w:kern w:val="0"/>
                <w:sz w:val="21"/>
                <w:szCs w:val="21"/>
                <w:lang w:eastAsia="zh-CN"/>
              </w:rPr>
              <w:t>）</w:t>
            </w:r>
          </w:p>
        </w:tc>
        <w:tc>
          <w:tcPr>
            <w:tcW w:w="2492" w:type="dxa"/>
          </w:tcPr>
          <w:p>
            <w:pPr>
              <w:autoSpaceDE w:val="0"/>
              <w:autoSpaceDN w:val="0"/>
              <w:spacing w:before="18" w:line="306"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直 接 费</w:t>
            </w: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4"/>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315.83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contextualSpacing/>
              <w:jc w:val="left"/>
              <w:rPr>
                <w:rFonts w:ascii="Times New Roman" w:hAnsi="Times New Roman"/>
                <w:color w:val="auto"/>
                <w:kern w:val="0"/>
                <w:sz w:val="21"/>
                <w:szCs w:val="21"/>
                <w:lang w:eastAsia="en-US"/>
              </w:rPr>
            </w:pPr>
          </w:p>
        </w:tc>
        <w:tc>
          <w:tcPr>
            <w:tcW w:w="2492" w:type="dxa"/>
          </w:tcPr>
          <w:p>
            <w:pPr>
              <w:autoSpaceDE w:val="0"/>
              <w:autoSpaceDN w:val="0"/>
              <w:spacing w:before="19" w:line="306"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人 工 费</w:t>
            </w:r>
          </w:p>
        </w:tc>
        <w:tc>
          <w:tcPr>
            <w:tcW w:w="745" w:type="dxa"/>
          </w:tcPr>
          <w:p>
            <w:pPr>
              <w:autoSpaceDE w:val="0"/>
              <w:autoSpaceDN w:val="0"/>
              <w:spacing w:before="19" w:line="306" w:lineRule="exact"/>
              <w:ind w:left="119" w:right="94"/>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工时</w:t>
            </w:r>
          </w:p>
        </w:tc>
        <w:tc>
          <w:tcPr>
            <w:tcW w:w="745" w:type="dxa"/>
          </w:tcPr>
          <w:p>
            <w:pPr>
              <w:autoSpaceDE w:val="0"/>
              <w:autoSpaceDN w:val="0"/>
              <w:spacing w:before="32"/>
              <w:ind w:left="261"/>
              <w:contextualSpacing/>
              <w:jc w:val="left"/>
              <w:rPr>
                <w:rFonts w:ascii="Times New Roman" w:hAnsi="Times New Roman"/>
                <w:color w:val="auto"/>
                <w:kern w:val="0"/>
                <w:sz w:val="21"/>
                <w:szCs w:val="21"/>
                <w:lang w:eastAsia="en-US"/>
              </w:rPr>
            </w:pPr>
            <w:r>
              <w:rPr>
                <w:rFonts w:ascii="Times New Roman" w:hAnsi="Times New Roman"/>
                <w:color w:val="auto"/>
                <w:kern w:val="0"/>
                <w:sz w:val="21"/>
                <w:szCs w:val="21"/>
                <w:lang w:eastAsia="en-US"/>
              </w:rPr>
              <w:t>10</w:t>
            </w:r>
          </w:p>
        </w:tc>
        <w:tc>
          <w:tcPr>
            <w:tcW w:w="1799" w:type="dxa"/>
          </w:tcPr>
          <w:p>
            <w:pPr>
              <w:autoSpaceDE w:val="0"/>
              <w:autoSpaceDN w:val="0"/>
              <w:spacing w:before="32"/>
              <w:ind w:left="281" w:right="256"/>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5.71</w:t>
            </w:r>
          </w:p>
        </w:tc>
        <w:tc>
          <w:tcPr>
            <w:tcW w:w="1810" w:type="dxa"/>
            <w:vAlign w:val="center"/>
          </w:tcPr>
          <w:p>
            <w:pPr>
              <w:autoSpaceDE w:val="0"/>
              <w:autoSpaceDN w:val="0"/>
              <w:spacing w:before="42"/>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57.10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contextualSpacing/>
              <w:jc w:val="left"/>
              <w:rPr>
                <w:rFonts w:ascii="Times New Roman" w:hAnsi="Times New Roman"/>
                <w:color w:val="auto"/>
                <w:kern w:val="0"/>
                <w:sz w:val="21"/>
                <w:szCs w:val="21"/>
                <w:lang w:eastAsia="en-US"/>
              </w:rPr>
            </w:pPr>
          </w:p>
        </w:tc>
        <w:tc>
          <w:tcPr>
            <w:tcW w:w="2492" w:type="dxa"/>
          </w:tcPr>
          <w:p>
            <w:pPr>
              <w:autoSpaceDE w:val="0"/>
              <w:autoSpaceDN w:val="0"/>
              <w:spacing w:before="19" w:line="306"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材 料 费</w:t>
            </w: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2"/>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285.33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contextualSpacing/>
              <w:jc w:val="left"/>
              <w:rPr>
                <w:rFonts w:ascii="Times New Roman" w:hAnsi="Times New Roman"/>
                <w:color w:val="auto"/>
                <w:kern w:val="0"/>
                <w:sz w:val="21"/>
                <w:szCs w:val="21"/>
                <w:lang w:eastAsia="en-US"/>
              </w:rPr>
            </w:pPr>
          </w:p>
        </w:tc>
        <w:tc>
          <w:tcPr>
            <w:tcW w:w="2492" w:type="dxa"/>
          </w:tcPr>
          <w:p>
            <w:pPr>
              <w:autoSpaceDE w:val="0"/>
              <w:autoSpaceDN w:val="0"/>
              <w:spacing w:before="19" w:line="306" w:lineRule="exact"/>
              <w:ind w:left="394" w:right="367"/>
              <w:contextualSpacing/>
              <w:jc w:val="center"/>
              <w:rPr>
                <w:rFonts w:ascii="Times New Roman" w:hAnsi="Times New Roman"/>
                <w:color w:val="auto"/>
                <w:kern w:val="0"/>
                <w:sz w:val="21"/>
                <w:szCs w:val="21"/>
                <w:lang w:eastAsia="en-US"/>
              </w:rPr>
            </w:pPr>
            <w:r>
              <w:rPr>
                <w:rFonts w:hint="eastAsia" w:ascii="Times New Roman" w:hAnsi="Times New Roman"/>
                <w:color w:val="auto"/>
                <w:kern w:val="0"/>
                <w:sz w:val="21"/>
                <w:szCs w:val="21"/>
                <w:lang w:eastAsia="zh-CN"/>
              </w:rPr>
              <w:t>防尘</w:t>
            </w:r>
            <w:r>
              <w:rPr>
                <w:rFonts w:ascii="Times New Roman" w:hAnsi="Times New Roman"/>
                <w:color w:val="auto"/>
                <w:kern w:val="0"/>
                <w:sz w:val="21"/>
                <w:szCs w:val="21"/>
                <w:lang w:eastAsia="en-US"/>
              </w:rPr>
              <w:t>网</w:t>
            </w:r>
          </w:p>
        </w:tc>
        <w:tc>
          <w:tcPr>
            <w:tcW w:w="745" w:type="dxa"/>
          </w:tcPr>
          <w:p>
            <w:pPr>
              <w:autoSpaceDE w:val="0"/>
              <w:autoSpaceDN w:val="0"/>
              <w:spacing w:before="19" w:line="306" w:lineRule="exact"/>
              <w:ind w:left="25"/>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2"/>
              <w:ind w:left="201"/>
              <w:contextualSpacing/>
              <w:jc w:val="left"/>
              <w:rPr>
                <w:rFonts w:ascii="Times New Roman" w:hAnsi="Times New Roman"/>
                <w:color w:val="auto"/>
                <w:kern w:val="0"/>
                <w:sz w:val="21"/>
                <w:szCs w:val="21"/>
                <w:lang w:eastAsia="en-US"/>
              </w:rPr>
            </w:pPr>
            <w:r>
              <w:rPr>
                <w:rFonts w:ascii="Times New Roman" w:hAnsi="Times New Roman"/>
                <w:color w:val="auto"/>
                <w:kern w:val="0"/>
                <w:sz w:val="21"/>
                <w:szCs w:val="21"/>
                <w:lang w:eastAsia="en-US"/>
              </w:rPr>
              <w:t>113</w:t>
            </w:r>
          </w:p>
        </w:tc>
        <w:tc>
          <w:tcPr>
            <w:tcW w:w="1799" w:type="dxa"/>
          </w:tcPr>
          <w:p>
            <w:pPr>
              <w:autoSpaceDE w:val="0"/>
              <w:autoSpaceDN w:val="0"/>
              <w:spacing w:before="32"/>
              <w:ind w:left="281" w:right="256"/>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2.63</w:t>
            </w:r>
          </w:p>
        </w:tc>
        <w:tc>
          <w:tcPr>
            <w:tcW w:w="1810" w:type="dxa"/>
            <w:vAlign w:val="center"/>
          </w:tcPr>
          <w:p>
            <w:pPr>
              <w:autoSpaceDE w:val="0"/>
              <w:autoSpaceDN w:val="0"/>
              <w:spacing w:before="42"/>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282.50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contextualSpacing/>
              <w:jc w:val="left"/>
              <w:rPr>
                <w:rFonts w:ascii="Times New Roman" w:hAnsi="Times New Roman"/>
                <w:color w:val="auto"/>
                <w:kern w:val="0"/>
                <w:sz w:val="21"/>
                <w:szCs w:val="21"/>
                <w:lang w:eastAsia="en-US"/>
              </w:rPr>
            </w:pPr>
          </w:p>
        </w:tc>
        <w:tc>
          <w:tcPr>
            <w:tcW w:w="2492" w:type="dxa"/>
          </w:tcPr>
          <w:p>
            <w:pPr>
              <w:autoSpaceDE w:val="0"/>
              <w:autoSpaceDN w:val="0"/>
              <w:spacing w:before="17"/>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其他材料费</w:t>
            </w: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745" w:type="dxa"/>
          </w:tcPr>
          <w:p>
            <w:pPr>
              <w:autoSpaceDE w:val="0"/>
              <w:autoSpaceDN w:val="0"/>
              <w:spacing w:before="33"/>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1</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2"/>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2.83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3"/>
              <w:ind w:left="108" w:right="92"/>
              <w:contextualSpacing/>
              <w:jc w:val="center"/>
              <w:rPr>
                <w:rFonts w:ascii="Times New Roman" w:hAnsi="Times New Roman"/>
                <w:color w:val="auto"/>
                <w:kern w:val="0"/>
                <w:sz w:val="21"/>
                <w:szCs w:val="21"/>
                <w:lang w:eastAsia="en-US"/>
              </w:rPr>
            </w:pPr>
            <w:r>
              <w:rPr>
                <w:rFonts w:hint="eastAsia" w:ascii="Times New Roman" w:hAnsi="Times New Roman"/>
                <w:color w:val="auto"/>
                <w:kern w:val="0"/>
                <w:sz w:val="21"/>
                <w:szCs w:val="21"/>
                <w:lang w:eastAsia="zh-CN"/>
              </w:rPr>
              <w:t>（</w:t>
            </w:r>
            <w:r>
              <w:rPr>
                <w:rFonts w:ascii="Times New Roman" w:hAnsi="Times New Roman"/>
                <w:color w:val="auto"/>
                <w:kern w:val="0"/>
                <w:sz w:val="21"/>
                <w:szCs w:val="21"/>
                <w:lang w:eastAsia="en-US"/>
              </w:rPr>
              <w:t>2</w:t>
            </w:r>
            <w:r>
              <w:rPr>
                <w:rFonts w:hint="eastAsia" w:ascii="Times New Roman" w:hAnsi="Times New Roman"/>
                <w:color w:val="auto"/>
                <w:kern w:val="0"/>
                <w:sz w:val="21"/>
                <w:szCs w:val="21"/>
                <w:lang w:eastAsia="zh-CN"/>
              </w:rPr>
              <w:t>）</w:t>
            </w:r>
          </w:p>
        </w:tc>
        <w:tc>
          <w:tcPr>
            <w:tcW w:w="2492" w:type="dxa"/>
          </w:tcPr>
          <w:p>
            <w:pPr>
              <w:autoSpaceDE w:val="0"/>
              <w:autoSpaceDN w:val="0"/>
              <w:spacing w:before="17"/>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其他直接费</w:t>
            </w:r>
          </w:p>
        </w:tc>
        <w:tc>
          <w:tcPr>
            <w:tcW w:w="745" w:type="dxa"/>
          </w:tcPr>
          <w:p>
            <w:pPr>
              <w:autoSpaceDE w:val="0"/>
              <w:autoSpaceDN w:val="0"/>
              <w:spacing w:before="33"/>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3"/>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4</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2"/>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12.63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3"/>
              <w:ind w:left="108" w:right="92"/>
              <w:contextualSpacing/>
              <w:jc w:val="center"/>
              <w:rPr>
                <w:rFonts w:ascii="Times New Roman" w:hAnsi="Times New Roman"/>
                <w:color w:val="auto"/>
                <w:kern w:val="0"/>
                <w:sz w:val="21"/>
                <w:szCs w:val="21"/>
                <w:lang w:eastAsia="en-US"/>
              </w:rPr>
            </w:pPr>
            <w:r>
              <w:rPr>
                <w:rFonts w:hint="eastAsia" w:ascii="Times New Roman" w:hAnsi="Times New Roman"/>
                <w:color w:val="auto"/>
                <w:kern w:val="0"/>
                <w:sz w:val="21"/>
                <w:szCs w:val="21"/>
                <w:lang w:eastAsia="zh-CN"/>
              </w:rPr>
              <w:t>（</w:t>
            </w:r>
            <w:r>
              <w:rPr>
                <w:rFonts w:ascii="Times New Roman" w:hAnsi="Times New Roman"/>
                <w:color w:val="auto"/>
                <w:kern w:val="0"/>
                <w:sz w:val="21"/>
                <w:szCs w:val="21"/>
                <w:lang w:eastAsia="en-US"/>
              </w:rPr>
              <w:t>3</w:t>
            </w:r>
            <w:r>
              <w:rPr>
                <w:rFonts w:hint="eastAsia" w:ascii="Times New Roman" w:hAnsi="Times New Roman"/>
                <w:color w:val="auto"/>
                <w:kern w:val="0"/>
                <w:sz w:val="21"/>
                <w:szCs w:val="21"/>
                <w:lang w:eastAsia="zh-CN"/>
              </w:rPr>
              <w:t>）</w:t>
            </w:r>
          </w:p>
        </w:tc>
        <w:tc>
          <w:tcPr>
            <w:tcW w:w="2492" w:type="dxa"/>
          </w:tcPr>
          <w:p>
            <w:pPr>
              <w:autoSpaceDE w:val="0"/>
              <w:autoSpaceDN w:val="0"/>
              <w:spacing w:before="17"/>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现场经费</w:t>
            </w:r>
          </w:p>
        </w:tc>
        <w:tc>
          <w:tcPr>
            <w:tcW w:w="745" w:type="dxa"/>
          </w:tcPr>
          <w:p>
            <w:pPr>
              <w:autoSpaceDE w:val="0"/>
              <w:autoSpaceDN w:val="0"/>
              <w:spacing w:before="33"/>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3"/>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5</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3"/>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15.84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3"/>
              <w:ind w:left="19"/>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2</w:t>
            </w:r>
          </w:p>
        </w:tc>
        <w:tc>
          <w:tcPr>
            <w:tcW w:w="2492" w:type="dxa"/>
          </w:tcPr>
          <w:p>
            <w:pPr>
              <w:autoSpaceDE w:val="0"/>
              <w:autoSpaceDN w:val="0"/>
              <w:spacing w:before="17"/>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间 接 费</w:t>
            </w:r>
          </w:p>
        </w:tc>
        <w:tc>
          <w:tcPr>
            <w:tcW w:w="745" w:type="dxa"/>
          </w:tcPr>
          <w:p>
            <w:pPr>
              <w:autoSpaceDE w:val="0"/>
              <w:autoSpaceDN w:val="0"/>
              <w:spacing w:before="17"/>
              <w:ind w:left="25"/>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3"/>
              <w:ind w:left="230"/>
              <w:contextualSpacing/>
              <w:jc w:val="left"/>
              <w:rPr>
                <w:rFonts w:ascii="Times New Roman" w:hAnsi="Times New Roman"/>
                <w:color w:val="auto"/>
                <w:kern w:val="0"/>
                <w:sz w:val="21"/>
                <w:szCs w:val="21"/>
                <w:lang w:eastAsia="en-US"/>
              </w:rPr>
            </w:pPr>
            <w:r>
              <w:rPr>
                <w:rFonts w:ascii="Times New Roman" w:hAnsi="Times New Roman"/>
                <w:color w:val="auto"/>
                <w:kern w:val="0"/>
                <w:sz w:val="21"/>
                <w:szCs w:val="21"/>
                <w:lang w:eastAsia="en-US"/>
              </w:rPr>
              <w:t>5.5</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3"/>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18.94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3"/>
              <w:ind w:left="19"/>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3</w:t>
            </w:r>
          </w:p>
        </w:tc>
        <w:tc>
          <w:tcPr>
            <w:tcW w:w="2492" w:type="dxa"/>
          </w:tcPr>
          <w:p>
            <w:pPr>
              <w:autoSpaceDE w:val="0"/>
              <w:autoSpaceDN w:val="0"/>
              <w:spacing w:before="18" w:line="307"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企业利润</w:t>
            </w:r>
          </w:p>
        </w:tc>
        <w:tc>
          <w:tcPr>
            <w:tcW w:w="745" w:type="dxa"/>
          </w:tcPr>
          <w:p>
            <w:pPr>
              <w:autoSpaceDE w:val="0"/>
              <w:autoSpaceDN w:val="0"/>
              <w:spacing w:before="18" w:line="307" w:lineRule="exact"/>
              <w:ind w:left="25"/>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3"/>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7</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3"/>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25.43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4"/>
              <w:ind w:left="19"/>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4</w:t>
            </w:r>
          </w:p>
        </w:tc>
        <w:tc>
          <w:tcPr>
            <w:tcW w:w="2492" w:type="dxa"/>
          </w:tcPr>
          <w:p>
            <w:pPr>
              <w:autoSpaceDE w:val="0"/>
              <w:autoSpaceDN w:val="0"/>
              <w:spacing w:before="18" w:line="307"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税金</w:t>
            </w:r>
          </w:p>
        </w:tc>
        <w:tc>
          <w:tcPr>
            <w:tcW w:w="745" w:type="dxa"/>
          </w:tcPr>
          <w:p>
            <w:pPr>
              <w:autoSpaceDE w:val="0"/>
              <w:autoSpaceDN w:val="0"/>
              <w:spacing w:before="18" w:line="307" w:lineRule="exact"/>
              <w:ind w:left="25"/>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4"/>
              <w:ind w:left="28"/>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9</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3"/>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34.98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745" w:type="dxa"/>
          </w:tcPr>
          <w:p>
            <w:pPr>
              <w:autoSpaceDE w:val="0"/>
              <w:autoSpaceDN w:val="0"/>
              <w:spacing w:before="34"/>
              <w:ind w:left="19"/>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5</w:t>
            </w:r>
          </w:p>
        </w:tc>
        <w:tc>
          <w:tcPr>
            <w:tcW w:w="2492" w:type="dxa"/>
          </w:tcPr>
          <w:p>
            <w:pPr>
              <w:autoSpaceDE w:val="0"/>
              <w:autoSpaceDN w:val="0"/>
              <w:spacing w:before="18" w:line="307"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扩大</w:t>
            </w:r>
          </w:p>
        </w:tc>
        <w:tc>
          <w:tcPr>
            <w:tcW w:w="745" w:type="dxa"/>
          </w:tcPr>
          <w:p>
            <w:pPr>
              <w:autoSpaceDE w:val="0"/>
              <w:autoSpaceDN w:val="0"/>
              <w:spacing w:before="18" w:line="307" w:lineRule="exact"/>
              <w:ind w:left="25"/>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w:t>
            </w:r>
          </w:p>
        </w:tc>
        <w:tc>
          <w:tcPr>
            <w:tcW w:w="745" w:type="dxa"/>
          </w:tcPr>
          <w:p>
            <w:pPr>
              <w:autoSpaceDE w:val="0"/>
              <w:autoSpaceDN w:val="0"/>
              <w:spacing w:before="34"/>
              <w:ind w:left="261"/>
              <w:contextualSpacing/>
              <w:jc w:val="left"/>
              <w:rPr>
                <w:rFonts w:ascii="Times New Roman" w:hAnsi="Times New Roman"/>
                <w:color w:val="auto"/>
                <w:kern w:val="0"/>
                <w:sz w:val="21"/>
                <w:szCs w:val="21"/>
                <w:lang w:eastAsia="en-US"/>
              </w:rPr>
            </w:pPr>
            <w:r>
              <w:rPr>
                <w:rFonts w:ascii="Times New Roman" w:hAnsi="Times New Roman"/>
                <w:color w:val="auto"/>
                <w:kern w:val="0"/>
                <w:sz w:val="21"/>
                <w:szCs w:val="21"/>
                <w:lang w:eastAsia="en-US"/>
              </w:rPr>
              <w:t>10</w:t>
            </w: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3"/>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42.36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745" w:type="dxa"/>
          </w:tcPr>
          <w:p>
            <w:pPr>
              <w:autoSpaceDE w:val="0"/>
              <w:autoSpaceDN w:val="0"/>
              <w:spacing w:before="32"/>
              <w:ind w:left="19"/>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6</w:t>
            </w:r>
          </w:p>
        </w:tc>
        <w:tc>
          <w:tcPr>
            <w:tcW w:w="2492" w:type="dxa"/>
          </w:tcPr>
          <w:p>
            <w:pPr>
              <w:autoSpaceDE w:val="0"/>
              <w:autoSpaceDN w:val="0"/>
              <w:spacing w:before="18" w:line="306" w:lineRule="exact"/>
              <w:ind w:left="394" w:right="367"/>
              <w:contextualSpacing/>
              <w:jc w:val="center"/>
              <w:rPr>
                <w:rFonts w:ascii="Times New Roman" w:hAnsi="Times New Roman"/>
                <w:color w:val="auto"/>
                <w:kern w:val="0"/>
                <w:sz w:val="21"/>
                <w:szCs w:val="21"/>
                <w:lang w:eastAsia="en-US"/>
              </w:rPr>
            </w:pPr>
            <w:r>
              <w:rPr>
                <w:rFonts w:ascii="Times New Roman" w:hAnsi="Times New Roman"/>
                <w:color w:val="auto"/>
                <w:kern w:val="0"/>
                <w:sz w:val="21"/>
                <w:szCs w:val="21"/>
                <w:lang w:eastAsia="en-US"/>
              </w:rPr>
              <w:t>合计</w:t>
            </w: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745" w:type="dxa"/>
          </w:tcPr>
          <w:p>
            <w:pPr>
              <w:autoSpaceDE w:val="0"/>
              <w:autoSpaceDN w:val="0"/>
              <w:contextualSpacing/>
              <w:jc w:val="left"/>
              <w:rPr>
                <w:rFonts w:ascii="Times New Roman" w:hAnsi="Times New Roman"/>
                <w:color w:val="auto"/>
                <w:kern w:val="0"/>
                <w:sz w:val="21"/>
                <w:szCs w:val="21"/>
                <w:lang w:eastAsia="en-US"/>
              </w:rPr>
            </w:pPr>
          </w:p>
        </w:tc>
        <w:tc>
          <w:tcPr>
            <w:tcW w:w="1799" w:type="dxa"/>
          </w:tcPr>
          <w:p>
            <w:pPr>
              <w:autoSpaceDE w:val="0"/>
              <w:autoSpaceDN w:val="0"/>
              <w:contextualSpacing/>
              <w:jc w:val="left"/>
              <w:rPr>
                <w:rFonts w:ascii="Times New Roman" w:hAnsi="Times New Roman"/>
                <w:color w:val="auto"/>
                <w:kern w:val="0"/>
                <w:sz w:val="21"/>
                <w:szCs w:val="21"/>
                <w:lang w:eastAsia="en-US"/>
              </w:rPr>
            </w:pPr>
          </w:p>
        </w:tc>
        <w:tc>
          <w:tcPr>
            <w:tcW w:w="1810" w:type="dxa"/>
            <w:vAlign w:val="center"/>
          </w:tcPr>
          <w:p>
            <w:pPr>
              <w:autoSpaceDE w:val="0"/>
              <w:autoSpaceDN w:val="0"/>
              <w:spacing w:before="44"/>
              <w:ind w:left="287" w:right="251"/>
              <w:contextualSpacing/>
              <w:jc w:val="center"/>
              <w:rPr>
                <w:rFonts w:ascii="Times New Roman" w:hAnsi="Times New Roman"/>
                <w:color w:val="auto"/>
                <w:kern w:val="0"/>
                <w:sz w:val="21"/>
                <w:szCs w:val="21"/>
                <w:lang w:eastAsia="en-US"/>
              </w:rPr>
            </w:pPr>
            <w:r>
              <w:rPr>
                <w:rFonts w:ascii="Times New Roman" w:hAnsi="Times New Roman" w:eastAsia="等线"/>
                <w:color w:val="auto"/>
                <w:sz w:val="21"/>
                <w:szCs w:val="21"/>
                <w:lang w:eastAsia="en-US"/>
              </w:rPr>
              <w:t xml:space="preserve">466.01 </w:t>
            </w:r>
          </w:p>
        </w:tc>
      </w:tr>
    </w:tbl>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5"/>
        <w:contextualSpacing/>
        <w:jc w:val="left"/>
        <w:rPr>
          <w:b/>
          <w:color w:val="auto"/>
          <w:kern w:val="0"/>
          <w:sz w:val="24"/>
          <w:szCs w:val="18"/>
          <w:lang w:eastAsia="en-US"/>
        </w:rPr>
      </w:pPr>
    </w:p>
    <w:p>
      <w:pPr>
        <w:autoSpaceDE w:val="0"/>
        <w:autoSpaceDN w:val="0"/>
        <w:spacing w:before="48"/>
        <w:ind w:left="140"/>
        <w:contextualSpacing/>
        <w:jc w:val="left"/>
        <w:rPr>
          <w:b/>
          <w:color w:val="auto"/>
          <w:kern w:val="0"/>
          <w:sz w:val="30"/>
          <w:szCs w:val="22"/>
        </w:rPr>
      </w:pPr>
      <w:r>
        <w:rPr>
          <w:rFonts w:hint="eastAsia"/>
          <w:b/>
          <w:color w:val="auto"/>
          <w:kern w:val="0"/>
          <w:sz w:val="30"/>
          <w:szCs w:val="22"/>
          <w:lang w:eastAsia="en-US"/>
        </w:rPr>
        <w:t>附件</w:t>
      </w:r>
      <w:r>
        <w:rPr>
          <w:rFonts w:hint="eastAsia"/>
          <w:b/>
          <w:color w:val="auto"/>
          <w:kern w:val="0"/>
          <w:sz w:val="30"/>
          <w:szCs w:val="22"/>
        </w:rPr>
        <w:t>1</w:t>
      </w:r>
      <w:r>
        <w:rPr>
          <w:b/>
          <w:color w:val="auto"/>
          <w:kern w:val="0"/>
          <w:sz w:val="30"/>
          <w:szCs w:val="22"/>
        </w:rPr>
        <w:t xml:space="preserve"> </w:t>
      </w:r>
      <w:r>
        <w:rPr>
          <w:rFonts w:hint="eastAsia"/>
          <w:b/>
          <w:color w:val="auto"/>
          <w:kern w:val="0"/>
          <w:sz w:val="30"/>
          <w:szCs w:val="22"/>
        </w:rPr>
        <w:t>初设批复</w:t>
      </w:r>
    </w:p>
    <w:p>
      <w:pPr>
        <w:autoSpaceDE w:val="0"/>
        <w:autoSpaceDN w:val="0"/>
        <w:spacing w:before="48"/>
        <w:ind w:left="140"/>
        <w:contextualSpacing/>
        <w:jc w:val="left"/>
        <w:rPr>
          <w:b/>
          <w:color w:val="auto"/>
          <w:kern w:val="0"/>
          <w:sz w:val="30"/>
          <w:szCs w:val="22"/>
        </w:rPr>
      </w:pPr>
    </w:p>
    <w:p>
      <w:pPr>
        <w:autoSpaceDE w:val="0"/>
        <w:autoSpaceDN w:val="0"/>
        <w:spacing w:before="48"/>
        <w:ind w:left="140"/>
        <w:contextualSpacing/>
        <w:jc w:val="left"/>
        <w:rPr>
          <w:b/>
          <w:color w:val="auto"/>
          <w:kern w:val="0"/>
          <w:sz w:val="30"/>
          <w:szCs w:val="22"/>
        </w:rPr>
      </w:pPr>
      <w:r>
        <w:rPr>
          <w:b/>
          <w:color w:val="auto"/>
          <w:kern w:val="0"/>
          <w:sz w:val="30"/>
          <w:szCs w:val="22"/>
        </w:rPr>
        <w:drawing>
          <wp:inline distT="0" distB="0" distL="0" distR="0">
            <wp:extent cx="5184140" cy="7109460"/>
            <wp:effectExtent l="0" t="0" r="0" b="0"/>
            <wp:docPr id="1850967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67864" name="图片 1"/>
                    <pic:cNvPicPr>
                      <a:picLocks noChangeAspect="1"/>
                    </pic:cNvPicPr>
                  </pic:nvPicPr>
                  <pic:blipFill>
                    <a:blip r:embed="rId29" cstate="print">
                      <a:extLst>
                        <a:ext uri="{28A0092B-C50C-407E-A947-70E740481C1C}">
                          <a14:useLocalDpi xmlns:a14="http://schemas.microsoft.com/office/drawing/2010/main" val="0"/>
                        </a:ext>
                      </a:extLst>
                    </a:blip>
                    <a:srcRect l="4912" t="5208" r="3636" b="6160"/>
                    <a:stretch>
                      <a:fillRect/>
                    </a:stretch>
                  </pic:blipFill>
                  <pic:spPr>
                    <a:xfrm>
                      <a:off x="0" y="0"/>
                      <a:ext cx="5194783" cy="7123337"/>
                    </a:xfrm>
                    <a:prstGeom prst="rect">
                      <a:avLst/>
                    </a:prstGeom>
                    <a:ln>
                      <a:noFill/>
                    </a:ln>
                  </pic:spPr>
                </pic:pic>
              </a:graphicData>
            </a:graphic>
          </wp:inline>
        </w:drawing>
      </w:r>
    </w:p>
    <w:p>
      <w:pPr>
        <w:autoSpaceDE w:val="0"/>
        <w:autoSpaceDN w:val="0"/>
        <w:spacing w:before="48"/>
        <w:ind w:left="140"/>
        <w:contextualSpacing/>
        <w:jc w:val="left"/>
        <w:rPr>
          <w:b/>
          <w:color w:val="auto"/>
          <w:kern w:val="0"/>
          <w:sz w:val="30"/>
          <w:szCs w:val="22"/>
        </w:rPr>
      </w:pPr>
    </w:p>
    <w:p>
      <w:pPr>
        <w:autoSpaceDE w:val="0"/>
        <w:autoSpaceDN w:val="0"/>
        <w:spacing w:before="48"/>
        <w:ind w:left="140"/>
        <w:contextualSpacing/>
        <w:jc w:val="left"/>
        <w:rPr>
          <w:b/>
          <w:color w:val="auto"/>
          <w:kern w:val="0"/>
          <w:sz w:val="30"/>
          <w:szCs w:val="22"/>
        </w:rPr>
      </w:pPr>
    </w:p>
    <w:p>
      <w:pPr>
        <w:contextualSpacing/>
        <w:rPr>
          <w:color w:val="auto"/>
          <w:sz w:val="21"/>
          <w:szCs w:val="21"/>
        </w:rPr>
      </w:pPr>
    </w:p>
    <w:p>
      <w:pPr>
        <w:contextualSpacing/>
        <w:rPr>
          <w:color w:val="auto"/>
          <w:sz w:val="21"/>
          <w:szCs w:val="21"/>
        </w:rPr>
      </w:pPr>
    </w:p>
    <w:p>
      <w:pPr>
        <w:contextualSpacing/>
        <w:rPr>
          <w:color w:val="auto"/>
          <w:sz w:val="21"/>
          <w:szCs w:val="21"/>
        </w:rPr>
      </w:pPr>
      <w:r>
        <w:rPr>
          <w:color w:val="auto"/>
          <w:sz w:val="21"/>
          <w:szCs w:val="21"/>
        </w:rPr>
        <w:drawing>
          <wp:inline distT="0" distB="0" distL="0" distR="0">
            <wp:extent cx="5332730" cy="7787640"/>
            <wp:effectExtent l="0" t="0" r="1270" b="3810"/>
            <wp:docPr id="17876016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01606" name="图片 2"/>
                    <pic:cNvPicPr>
                      <a:picLocks noChangeAspect="1"/>
                    </pic:cNvPicPr>
                  </pic:nvPicPr>
                  <pic:blipFill>
                    <a:blip r:embed="rId30" cstate="print">
                      <a:extLst>
                        <a:ext uri="{28A0092B-C50C-407E-A947-70E740481C1C}">
                          <a14:useLocalDpi xmlns:a14="http://schemas.microsoft.com/office/drawing/2010/main" val="0"/>
                        </a:ext>
                      </a:extLst>
                    </a:blip>
                    <a:srcRect l="5923" t="1429" r="6815" b="8509"/>
                    <a:stretch>
                      <a:fillRect/>
                    </a:stretch>
                  </pic:blipFill>
                  <pic:spPr>
                    <a:xfrm>
                      <a:off x="0" y="0"/>
                      <a:ext cx="5337745" cy="7794523"/>
                    </a:xfrm>
                    <a:prstGeom prst="rect">
                      <a:avLst/>
                    </a:prstGeom>
                    <a:ln>
                      <a:noFill/>
                    </a:ln>
                  </pic:spPr>
                </pic:pic>
              </a:graphicData>
            </a:graphic>
          </wp:inline>
        </w:drawing>
      </w:r>
    </w:p>
    <w:p>
      <w:pPr>
        <w:contextualSpacing/>
        <w:rPr>
          <w:color w:val="auto"/>
          <w:sz w:val="21"/>
          <w:szCs w:val="21"/>
        </w:rPr>
      </w:pPr>
    </w:p>
    <w:p>
      <w:pPr>
        <w:contextualSpacing/>
        <w:rPr>
          <w:color w:val="auto"/>
          <w:sz w:val="21"/>
          <w:szCs w:val="21"/>
        </w:rPr>
      </w:pPr>
    </w:p>
    <w:p>
      <w:pPr>
        <w:contextualSpacing/>
        <w:rPr>
          <w:color w:val="auto"/>
          <w:sz w:val="21"/>
          <w:szCs w:val="21"/>
        </w:rPr>
      </w:pPr>
      <w:r>
        <w:rPr>
          <w:rFonts w:hint="eastAsia"/>
          <w:b/>
          <w:color w:val="auto"/>
          <w:kern w:val="0"/>
          <w:sz w:val="30"/>
          <w:szCs w:val="22"/>
        </w:rPr>
        <w:t>附件</w:t>
      </w:r>
      <w:r>
        <w:rPr>
          <w:b/>
          <w:color w:val="auto"/>
          <w:kern w:val="0"/>
          <w:sz w:val="30"/>
          <w:szCs w:val="22"/>
        </w:rPr>
        <w:t xml:space="preserve">2 </w:t>
      </w:r>
      <w:r>
        <w:rPr>
          <w:rFonts w:hint="eastAsia"/>
          <w:b/>
          <w:color w:val="auto"/>
          <w:kern w:val="0"/>
          <w:sz w:val="30"/>
          <w:szCs w:val="22"/>
        </w:rPr>
        <w:t>限期补办水行政许可手续通知书</w:t>
      </w:r>
    </w:p>
    <w:p>
      <w:pPr>
        <w:contextualSpacing/>
        <w:rPr>
          <w:color w:val="auto"/>
          <w:sz w:val="21"/>
          <w:szCs w:val="21"/>
        </w:rPr>
      </w:pPr>
      <w:r>
        <w:rPr>
          <w:color w:val="auto"/>
          <w:sz w:val="21"/>
          <w:szCs w:val="21"/>
        </w:rPr>
        <w:drawing>
          <wp:inline distT="0" distB="0" distL="0" distR="0">
            <wp:extent cx="5274310" cy="8042275"/>
            <wp:effectExtent l="0" t="0" r="2540" b="0"/>
            <wp:docPr id="9806203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20375" name="图片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8042275"/>
                    </a:xfrm>
                    <a:prstGeom prst="rect">
                      <a:avLst/>
                    </a:prstGeom>
                  </pic:spPr>
                </pic:pic>
              </a:graphicData>
            </a:graphic>
          </wp:inline>
        </w:drawing>
      </w:r>
    </w:p>
    <w:p>
      <w:pPr>
        <w:contextualSpacing/>
        <w:rPr>
          <w:color w:val="auto"/>
          <w:sz w:val="21"/>
          <w:szCs w:val="21"/>
        </w:rPr>
      </w:pPr>
    </w:p>
    <w:p>
      <w:pPr>
        <w:contextualSpacing/>
        <w:rPr>
          <w:color w:val="auto"/>
          <w:sz w:val="21"/>
          <w:szCs w:val="21"/>
        </w:rPr>
      </w:pPr>
      <w:r>
        <w:rPr>
          <w:rFonts w:hint="eastAsia"/>
          <w:b/>
          <w:color w:val="auto"/>
          <w:kern w:val="0"/>
          <w:sz w:val="30"/>
          <w:szCs w:val="22"/>
        </w:rPr>
        <w:t>附件</w:t>
      </w:r>
      <w:r>
        <w:rPr>
          <w:b/>
          <w:color w:val="auto"/>
          <w:kern w:val="0"/>
          <w:sz w:val="30"/>
          <w:szCs w:val="22"/>
        </w:rPr>
        <w:t xml:space="preserve">3 </w:t>
      </w:r>
      <w:r>
        <w:rPr>
          <w:rFonts w:hint="eastAsia"/>
          <w:b/>
          <w:color w:val="auto"/>
          <w:kern w:val="0"/>
          <w:sz w:val="30"/>
          <w:szCs w:val="22"/>
        </w:rPr>
        <w:t>建设用地规划许可证</w:t>
      </w:r>
    </w:p>
    <w:p>
      <w:pPr>
        <w:contextualSpacing/>
        <w:rPr>
          <w:color w:val="auto"/>
          <w:sz w:val="21"/>
          <w:szCs w:val="21"/>
        </w:rPr>
      </w:pPr>
      <w:r>
        <w:rPr>
          <w:color w:val="auto"/>
          <w:sz w:val="21"/>
          <w:szCs w:val="21"/>
        </w:rPr>
        <w:drawing>
          <wp:inline distT="0" distB="0" distL="0" distR="0">
            <wp:extent cx="5338445" cy="7764780"/>
            <wp:effectExtent l="0" t="0" r="0" b="7620"/>
            <wp:docPr id="12274112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1272" name="图片 4"/>
                    <pic:cNvPicPr>
                      <a:picLocks noChangeAspect="1"/>
                    </pic:cNvPicPr>
                  </pic:nvPicPr>
                  <pic:blipFill>
                    <a:blip r:embed="rId32" cstate="print">
                      <a:extLst>
                        <a:ext uri="{28A0092B-C50C-407E-A947-70E740481C1C}">
                          <a14:useLocalDpi xmlns:a14="http://schemas.microsoft.com/office/drawing/2010/main" val="0"/>
                        </a:ext>
                      </a:extLst>
                    </a:blip>
                    <a:srcRect l="4175" t="509" r="4268" b="5384"/>
                    <a:stretch>
                      <a:fillRect/>
                    </a:stretch>
                  </pic:blipFill>
                  <pic:spPr>
                    <a:xfrm>
                      <a:off x="0" y="0"/>
                      <a:ext cx="5347611" cy="7777578"/>
                    </a:xfrm>
                    <a:prstGeom prst="rect">
                      <a:avLst/>
                    </a:prstGeom>
                    <a:ln>
                      <a:noFill/>
                    </a:ln>
                  </pic:spPr>
                </pic:pic>
              </a:graphicData>
            </a:graphic>
          </wp:inline>
        </w:drawing>
      </w:r>
    </w:p>
    <w:p>
      <w:pPr>
        <w:contextualSpacing/>
        <w:rPr>
          <w:color w:val="auto"/>
          <w:sz w:val="21"/>
          <w:szCs w:val="21"/>
        </w:rPr>
      </w:pPr>
    </w:p>
    <w:p>
      <w:pPr>
        <w:contextualSpacing/>
        <w:rPr>
          <w:color w:val="auto"/>
          <w:sz w:val="21"/>
          <w:szCs w:val="21"/>
        </w:rPr>
      </w:pPr>
    </w:p>
    <w:p>
      <w:pPr>
        <w:contextualSpacing/>
        <w:rPr>
          <w:color w:val="auto"/>
          <w:sz w:val="21"/>
          <w:szCs w:val="21"/>
        </w:rPr>
      </w:pPr>
    </w:p>
    <w:p>
      <w:pPr>
        <w:contextualSpacing/>
        <w:rPr>
          <w:color w:val="auto"/>
          <w:sz w:val="21"/>
          <w:szCs w:val="21"/>
        </w:rPr>
      </w:pPr>
      <w:r>
        <w:rPr>
          <w:color w:val="auto"/>
          <w:sz w:val="21"/>
          <w:szCs w:val="21"/>
        </w:rPr>
        <w:drawing>
          <wp:anchor distT="0" distB="0" distL="114300" distR="114300" simplePos="0" relativeHeight="251660288" behindDoc="0" locked="0" layoutInCell="1" allowOverlap="1">
            <wp:simplePos x="0" y="0"/>
            <wp:positionH relativeFrom="column">
              <wp:posOffset>-635</wp:posOffset>
            </wp:positionH>
            <wp:positionV relativeFrom="paragraph">
              <wp:posOffset>198120</wp:posOffset>
            </wp:positionV>
            <wp:extent cx="5349875" cy="7574280"/>
            <wp:effectExtent l="0" t="0" r="3175" b="7620"/>
            <wp:wrapSquare wrapText="bothSides"/>
            <wp:docPr id="10431324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32417" name="图片 5"/>
                    <pic:cNvPicPr>
                      <a:picLocks noChangeAspect="1"/>
                    </pic:cNvPicPr>
                  </pic:nvPicPr>
                  <pic:blipFill>
                    <a:blip r:embed="rId33" cstate="print">
                      <a:extLst>
                        <a:ext uri="{28A0092B-C50C-407E-A947-70E740481C1C}">
                          <a14:useLocalDpi xmlns:a14="http://schemas.microsoft.com/office/drawing/2010/main" val="0"/>
                        </a:ext>
                      </a:extLst>
                    </a:blip>
                    <a:srcRect l="2166" t="715" r="4359" b="5752"/>
                    <a:stretch>
                      <a:fillRect/>
                    </a:stretch>
                  </pic:blipFill>
                  <pic:spPr>
                    <a:xfrm>
                      <a:off x="0" y="0"/>
                      <a:ext cx="5349875" cy="7574280"/>
                    </a:xfrm>
                    <a:prstGeom prst="rect">
                      <a:avLst/>
                    </a:prstGeom>
                    <a:ln>
                      <a:noFill/>
                    </a:ln>
                  </pic:spPr>
                </pic:pic>
              </a:graphicData>
            </a:graphic>
          </wp:anchor>
        </w:drawing>
      </w:r>
    </w:p>
    <w:p>
      <w:pPr>
        <w:contextualSpacing/>
        <w:rPr>
          <w:color w:val="auto"/>
          <w:sz w:val="21"/>
          <w:szCs w:val="21"/>
        </w:rPr>
      </w:pPr>
      <w:r>
        <w:rPr>
          <w:color w:val="auto"/>
          <w:sz w:val="21"/>
          <w:szCs w:val="21"/>
        </w:rPr>
        <w:br w:type="textWrapping" w:clear="all"/>
      </w:r>
    </w:p>
    <w:p>
      <w:pPr>
        <w:contextualSpacing/>
        <w:rPr>
          <w:color w:val="auto"/>
          <w:sz w:val="21"/>
          <w:szCs w:val="21"/>
        </w:rPr>
      </w:pPr>
    </w:p>
    <w:p>
      <w:pPr>
        <w:contextualSpacing/>
        <w:rPr>
          <w:color w:val="auto"/>
          <w:sz w:val="21"/>
          <w:szCs w:val="21"/>
        </w:rPr>
      </w:pPr>
    </w:p>
    <w:p>
      <w:pPr>
        <w:contextualSpacing/>
        <w:rPr>
          <w:color w:val="auto"/>
          <w:sz w:val="21"/>
          <w:szCs w:val="21"/>
        </w:rPr>
      </w:pPr>
      <w:r>
        <w:rPr>
          <w:rFonts w:hint="eastAsia"/>
          <w:b/>
          <w:color w:val="auto"/>
          <w:kern w:val="0"/>
          <w:sz w:val="30"/>
          <w:szCs w:val="22"/>
        </w:rPr>
        <w:t>附件</w:t>
      </w:r>
      <w:r>
        <w:rPr>
          <w:b/>
          <w:color w:val="auto"/>
          <w:kern w:val="0"/>
          <w:sz w:val="30"/>
          <w:szCs w:val="22"/>
        </w:rPr>
        <w:t xml:space="preserve">4 </w:t>
      </w:r>
      <w:r>
        <w:rPr>
          <w:rFonts w:hint="eastAsia"/>
          <w:b/>
          <w:color w:val="auto"/>
          <w:kern w:val="0"/>
          <w:sz w:val="30"/>
          <w:szCs w:val="22"/>
        </w:rPr>
        <w:t>建设工程规划许可证</w:t>
      </w:r>
    </w:p>
    <w:p>
      <w:pPr>
        <w:contextualSpacing/>
        <w:rPr>
          <w:color w:val="auto"/>
          <w:sz w:val="21"/>
          <w:szCs w:val="21"/>
        </w:rPr>
      </w:pPr>
      <w:r>
        <w:rPr>
          <w:color w:val="auto"/>
          <w:sz w:val="21"/>
          <w:szCs w:val="21"/>
        </w:rPr>
        <w:drawing>
          <wp:inline distT="0" distB="0" distL="0" distR="0">
            <wp:extent cx="5389880" cy="7642860"/>
            <wp:effectExtent l="0" t="0" r="1270" b="0"/>
            <wp:docPr id="7351521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52125" name="图片 6"/>
                    <pic:cNvPicPr>
                      <a:picLocks noChangeAspect="1"/>
                    </pic:cNvPicPr>
                  </pic:nvPicPr>
                  <pic:blipFill>
                    <a:blip r:embed="rId34" cstate="print">
                      <a:extLst>
                        <a:ext uri="{28A0092B-C50C-407E-A947-70E740481C1C}">
                          <a14:useLocalDpi xmlns:a14="http://schemas.microsoft.com/office/drawing/2010/main" val="0"/>
                        </a:ext>
                      </a:extLst>
                    </a:blip>
                    <a:srcRect l="3901" t="307" r="2768" b="6161"/>
                    <a:stretch>
                      <a:fillRect/>
                    </a:stretch>
                  </pic:blipFill>
                  <pic:spPr>
                    <a:xfrm>
                      <a:off x="0" y="0"/>
                      <a:ext cx="5399532" cy="7656303"/>
                    </a:xfrm>
                    <a:prstGeom prst="rect">
                      <a:avLst/>
                    </a:prstGeom>
                    <a:ln>
                      <a:noFill/>
                    </a:ln>
                  </pic:spPr>
                </pic:pic>
              </a:graphicData>
            </a:graphic>
          </wp:inline>
        </w:drawing>
      </w:r>
    </w:p>
    <w:p>
      <w:pPr>
        <w:contextualSpacing/>
        <w:rPr>
          <w:color w:val="auto"/>
          <w:sz w:val="21"/>
          <w:szCs w:val="21"/>
        </w:rPr>
      </w:pPr>
    </w:p>
    <w:p>
      <w:pPr>
        <w:contextualSpacing/>
        <w:rPr>
          <w:color w:val="auto"/>
          <w:sz w:val="21"/>
          <w:szCs w:val="21"/>
        </w:rPr>
      </w:pPr>
    </w:p>
    <w:p>
      <w:pPr>
        <w:contextualSpacing/>
        <w:rPr>
          <w:color w:val="auto"/>
          <w:sz w:val="21"/>
          <w:szCs w:val="21"/>
        </w:rPr>
      </w:pPr>
    </w:p>
    <w:p>
      <w:pPr>
        <w:contextualSpacing/>
        <w:rPr>
          <w:color w:val="auto"/>
          <w:sz w:val="21"/>
          <w:szCs w:val="21"/>
        </w:rPr>
      </w:pPr>
    </w:p>
    <w:p>
      <w:pPr>
        <w:contextualSpacing/>
        <w:rPr>
          <w:color w:val="auto"/>
          <w:sz w:val="21"/>
          <w:szCs w:val="21"/>
        </w:rPr>
      </w:pPr>
    </w:p>
    <w:p>
      <w:pPr>
        <w:contextualSpacing/>
        <w:rPr>
          <w:color w:val="auto"/>
          <w:sz w:val="21"/>
          <w:szCs w:val="21"/>
        </w:rPr>
      </w:pPr>
    </w:p>
    <w:p>
      <w:pPr>
        <w:contextualSpacing/>
        <w:rPr>
          <w:color w:val="auto"/>
          <w:sz w:val="21"/>
          <w:szCs w:val="21"/>
        </w:rPr>
      </w:pPr>
      <w:r>
        <w:rPr>
          <w:color w:val="auto"/>
          <w:sz w:val="21"/>
          <w:szCs w:val="21"/>
        </w:rPr>
        <w:drawing>
          <wp:inline distT="0" distB="0" distL="0" distR="0">
            <wp:extent cx="5490845" cy="7559040"/>
            <wp:effectExtent l="0" t="0" r="0" b="3810"/>
            <wp:docPr id="5853547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54757" name="图片 7"/>
                    <pic:cNvPicPr>
                      <a:picLocks noChangeAspect="1"/>
                    </pic:cNvPicPr>
                  </pic:nvPicPr>
                  <pic:blipFill>
                    <a:blip r:embed="rId35" cstate="print">
                      <a:extLst>
                        <a:ext uri="{28A0092B-C50C-407E-A947-70E740481C1C}">
                          <a14:useLocalDpi xmlns:a14="http://schemas.microsoft.com/office/drawing/2010/main" val="0"/>
                        </a:ext>
                      </a:extLst>
                    </a:blip>
                    <a:srcRect l="2601" r="1469" b="6671"/>
                    <a:stretch>
                      <a:fillRect/>
                    </a:stretch>
                  </pic:blipFill>
                  <pic:spPr>
                    <a:xfrm>
                      <a:off x="0" y="0"/>
                      <a:ext cx="5497803" cy="7567758"/>
                    </a:xfrm>
                    <a:prstGeom prst="rect">
                      <a:avLst/>
                    </a:prstGeom>
                    <a:ln>
                      <a:noFill/>
                    </a:ln>
                  </pic:spPr>
                </pic:pic>
              </a:graphicData>
            </a:graphic>
          </wp:inline>
        </w:drawing>
      </w:r>
    </w:p>
    <w:p>
      <w:pPr>
        <w:contextualSpacing/>
        <w:rPr>
          <w:color w:val="auto"/>
          <w:sz w:val="21"/>
          <w:szCs w:val="21"/>
        </w:rPr>
      </w:pPr>
    </w:p>
    <w:p>
      <w:pPr>
        <w:contextualSpacing/>
        <w:rPr>
          <w:color w:val="auto"/>
          <w:sz w:val="21"/>
          <w:szCs w:val="21"/>
        </w:rPr>
      </w:pPr>
    </w:p>
    <w:p>
      <w:pPr>
        <w:contextualSpacing/>
        <w:rPr>
          <w:color w:val="auto"/>
          <w:sz w:val="21"/>
          <w:szCs w:val="21"/>
        </w:rPr>
        <w:sectPr>
          <w:headerReference r:id="rId21" w:type="default"/>
          <w:pgSz w:w="11906" w:h="16838"/>
          <w:pgMar w:top="1440" w:right="1800" w:bottom="1440" w:left="1800" w:header="851" w:footer="992" w:gutter="0"/>
          <w:cols w:space="425" w:num="1"/>
          <w:docGrid w:type="lines" w:linePitch="312" w:charSpace="0"/>
        </w:sectPr>
      </w:pPr>
    </w:p>
    <w:p>
      <w:pPr>
        <w:contextualSpacing/>
        <w:rPr>
          <w:b/>
          <w:bCs/>
          <w:color w:val="auto"/>
          <w:sz w:val="28"/>
          <w:szCs w:val="28"/>
        </w:rPr>
      </w:pPr>
      <w:r>
        <w:rPr>
          <w:b/>
          <w:bCs/>
          <w:color w:val="auto"/>
          <w:sz w:val="28"/>
          <w:szCs w:val="28"/>
        </w:rPr>
        <w:t>附件5 水土保持方案编制委托书</w:t>
      </w:r>
    </w:p>
    <w:p>
      <w:pPr>
        <w:spacing w:before="435" w:beforeLines="100" w:after="435" w:afterLines="100" w:line="480" w:lineRule="auto"/>
        <w:jc w:val="center"/>
        <w:rPr>
          <w:b/>
          <w:color w:val="auto"/>
          <w:sz w:val="44"/>
          <w:szCs w:val="44"/>
        </w:rPr>
      </w:pPr>
      <w:r>
        <w:rPr>
          <w:b/>
          <w:color w:val="auto"/>
          <w:sz w:val="44"/>
          <w:szCs w:val="44"/>
        </w:rPr>
        <w:t>水土保持方案编制委托书</w:t>
      </w:r>
    </w:p>
    <w:p>
      <w:pPr>
        <w:rPr>
          <w:color w:val="auto"/>
          <w:sz w:val="21"/>
          <w:szCs w:val="10"/>
        </w:rPr>
      </w:pPr>
    </w:p>
    <w:p>
      <w:pPr>
        <w:spacing w:before="217" w:beforeLines="50" w:line="480" w:lineRule="auto"/>
        <w:rPr>
          <w:b/>
          <w:bCs/>
          <w:color w:val="auto"/>
          <w:sz w:val="30"/>
          <w:szCs w:val="30"/>
        </w:rPr>
      </w:pPr>
      <w:r>
        <w:rPr>
          <w:rFonts w:hint="eastAsia"/>
          <w:b/>
          <w:bCs/>
          <w:color w:val="auto"/>
          <w:sz w:val="30"/>
          <w:szCs w:val="30"/>
        </w:rPr>
        <w:t>黑龙江鑫丰智慧空间科技有限公司</w:t>
      </w:r>
      <w:r>
        <w:rPr>
          <w:b/>
          <w:bCs/>
          <w:color w:val="auto"/>
          <w:sz w:val="30"/>
          <w:szCs w:val="30"/>
        </w:rPr>
        <w:t>：</w:t>
      </w:r>
    </w:p>
    <w:p>
      <w:pPr>
        <w:spacing w:before="217" w:beforeLines="50" w:line="360" w:lineRule="auto"/>
        <w:ind w:firstLine="560" w:firstLineChars="200"/>
        <w:jc w:val="left"/>
        <w:rPr>
          <w:color w:val="auto"/>
          <w:sz w:val="28"/>
          <w:szCs w:val="28"/>
        </w:rPr>
      </w:pPr>
      <w:r>
        <w:rPr>
          <w:color w:val="auto"/>
          <w:sz w:val="28"/>
          <w:szCs w:val="28"/>
        </w:rPr>
        <w:t>根据《中华人民共和国水土保持法》（2010年10月25日）以及</w:t>
      </w:r>
      <w:r>
        <w:rPr>
          <w:color w:val="auto"/>
          <w:sz w:val="28"/>
        </w:rPr>
        <w:t>《</w:t>
      </w:r>
      <w:r>
        <w:rPr>
          <w:rFonts w:hint="eastAsia"/>
          <w:color w:val="auto"/>
          <w:sz w:val="28"/>
        </w:rPr>
        <w:t>黑龙江省水土保持条例</w:t>
      </w:r>
      <w:r>
        <w:rPr>
          <w:color w:val="auto"/>
          <w:sz w:val="28"/>
        </w:rPr>
        <w:t>》</w:t>
      </w:r>
      <w:r>
        <w:rPr>
          <w:color w:val="auto"/>
          <w:sz w:val="28"/>
          <w:szCs w:val="28"/>
        </w:rPr>
        <w:t>等相关法律法规的要求，特委托贵公司承担</w:t>
      </w:r>
      <w:r>
        <w:rPr>
          <w:b/>
          <w:bCs/>
          <w:color w:val="auto"/>
          <w:sz w:val="28"/>
          <w:szCs w:val="28"/>
          <w:u w:val="single"/>
        </w:rPr>
        <w:t>鸡西市麻山区石墨产业园区污水处理厂二期扩建工程</w:t>
      </w:r>
      <w:r>
        <w:rPr>
          <w:color w:val="auto"/>
          <w:sz w:val="28"/>
          <w:szCs w:val="28"/>
        </w:rPr>
        <w:t>水土保持方案报告表的编制工作，具体事宜在技术服务合同中明确。</w:t>
      </w:r>
    </w:p>
    <w:p>
      <w:pPr>
        <w:spacing w:line="360" w:lineRule="auto"/>
        <w:jc w:val="left"/>
        <w:rPr>
          <w:color w:val="auto"/>
          <w:sz w:val="28"/>
          <w:szCs w:val="28"/>
        </w:rPr>
      </w:pPr>
    </w:p>
    <w:p>
      <w:pPr>
        <w:wordWrap w:val="0"/>
        <w:spacing w:line="360" w:lineRule="auto"/>
        <w:ind w:right="1120"/>
        <w:jc w:val="right"/>
        <w:rPr>
          <w:color w:val="auto"/>
          <w:sz w:val="28"/>
          <w:szCs w:val="28"/>
        </w:rPr>
      </w:pPr>
      <w:r>
        <w:rPr>
          <w:color w:val="auto"/>
          <w:sz w:val="28"/>
          <w:szCs w:val="28"/>
        </w:rPr>
        <w:t xml:space="preserve">          </w:t>
      </w:r>
    </w:p>
    <w:p>
      <w:pPr>
        <w:spacing w:line="360" w:lineRule="auto"/>
        <w:ind w:right="1120"/>
        <w:jc w:val="right"/>
        <w:rPr>
          <w:bCs/>
          <w:snapToGrid w:val="0"/>
          <w:color w:val="auto"/>
          <w:sz w:val="28"/>
          <w:szCs w:val="28"/>
        </w:rPr>
      </w:pPr>
      <w:r>
        <w:rPr>
          <w:color w:val="auto"/>
          <w:sz w:val="28"/>
          <w:szCs w:val="28"/>
        </w:rPr>
        <w:t xml:space="preserve">              </w:t>
      </w:r>
      <w:r>
        <w:rPr>
          <w:bCs/>
          <w:snapToGrid w:val="0"/>
          <w:color w:val="auto"/>
          <w:sz w:val="28"/>
          <w:szCs w:val="28"/>
        </w:rPr>
        <w:t xml:space="preserve">                         </w:t>
      </w:r>
    </w:p>
    <w:p>
      <w:pPr>
        <w:spacing w:line="360" w:lineRule="auto"/>
        <w:ind w:right="140"/>
        <w:jc w:val="right"/>
        <w:rPr>
          <w:bCs/>
          <w:snapToGrid w:val="0"/>
          <w:color w:val="auto"/>
          <w:sz w:val="28"/>
          <w:szCs w:val="28"/>
        </w:rPr>
      </w:pPr>
    </w:p>
    <w:p>
      <w:pPr>
        <w:spacing w:line="360" w:lineRule="auto"/>
        <w:ind w:right="140"/>
        <w:jc w:val="right"/>
        <w:rPr>
          <w:bCs/>
          <w:snapToGrid w:val="0"/>
          <w:color w:val="auto"/>
          <w:sz w:val="28"/>
          <w:szCs w:val="28"/>
        </w:rPr>
      </w:pPr>
    </w:p>
    <w:p>
      <w:pPr>
        <w:spacing w:line="360" w:lineRule="auto"/>
        <w:ind w:right="420"/>
        <w:jc w:val="right"/>
        <w:rPr>
          <w:bCs/>
          <w:snapToGrid w:val="0"/>
          <w:color w:val="auto"/>
          <w:sz w:val="28"/>
          <w:szCs w:val="28"/>
        </w:rPr>
      </w:pPr>
      <w:r>
        <w:rPr>
          <w:rFonts w:hint="eastAsia"/>
          <w:bCs/>
          <w:snapToGrid w:val="0"/>
          <w:color w:val="auto"/>
          <w:sz w:val="28"/>
          <w:szCs w:val="28"/>
        </w:rPr>
        <w:t>鸡西市麻山区住房和城乡建设局</w:t>
      </w:r>
    </w:p>
    <w:p>
      <w:pPr>
        <w:spacing w:line="360" w:lineRule="auto"/>
        <w:jc w:val="left"/>
        <w:rPr>
          <w:color w:val="auto"/>
          <w:sz w:val="28"/>
          <w:szCs w:val="28"/>
        </w:rPr>
      </w:pPr>
      <w:r>
        <w:rPr>
          <w:color w:val="auto"/>
          <w:sz w:val="28"/>
          <w:szCs w:val="28"/>
        </w:rPr>
        <w:t xml:space="preserve">                                            2023年9月</w:t>
      </w: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1"/>
        </w:rPr>
      </w:pPr>
    </w:p>
    <w:sectPr>
      <w:footerReference r:id="rId22" w:type="default"/>
      <w:pgSz w:w="11906" w:h="16838"/>
      <w:pgMar w:top="1440" w:right="1800" w:bottom="1440" w:left="180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ISOCT">
    <w:panose1 w:val="00000400000000000000"/>
    <w:charset w:val="00"/>
    <w:family w:val="auto"/>
    <w:pitch w:val="default"/>
    <w:sig w:usb0="00000007" w:usb1="00000000" w:usb2="00000000" w:usb3="00000000" w:csb0="000001FF" w:csb1="00000000"/>
  </w:font>
  <w:font w:name="宋体d..粛恤.">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5076670"/>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498957"/>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3537985"/>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6278882"/>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8096706"/>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6842153"/>
      <w:docPartObj>
        <w:docPartGallery w:val="autotext"/>
      </w:docPartObj>
    </w:sdtPr>
    <w:sdtContent>
      <w:p>
        <w:pPr>
          <w:pStyle w:val="17"/>
          <w:jc w:val="cente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3899121"/>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3901363"/>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3861296"/>
      <w:docPartObj>
        <w:docPartGallery w:val="autotext"/>
      </w:docPartObj>
    </w:sdtPr>
    <w:sdtEndPr>
      <w:rPr>
        <w:rFonts w:ascii="Times New Roman" w:hAnsi="Times New Roman" w:cs="Times New Roman"/>
        <w:sz w:val="21"/>
        <w:szCs w:val="21"/>
      </w:rPr>
    </w:sdtEndPr>
    <w:sdtContent>
      <w:p>
        <w:pPr>
          <w:pStyle w:val="1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rPr>
        <w:rFonts w:ascii="仿宋_GB2312" w:hAnsi="Times New Roman" w:eastAsia="仿宋_GB2312" w:cs="Times New Roman"/>
        <w:sz w:val="21"/>
        <w:szCs w:val="21"/>
      </w:rPr>
    </w:pPr>
    <w:r>
      <w:rPr>
        <w:rFonts w:hint="eastAsia" w:ascii="仿宋_GB2312" w:hAnsi="Times New Roman" w:eastAsia="仿宋_GB2312" w:cs="Times New Roman"/>
        <w:sz w:val="21"/>
        <w:szCs w:val="21"/>
      </w:rPr>
      <w:t>7  水土保持管理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rPr>
        <w:rFonts w:ascii="仿宋_GB2312" w:eastAsia="仿宋_GB2312" w:hAnsiTheme="minorEastAsia"/>
        <w:sz w:val="21"/>
        <w:szCs w:val="21"/>
      </w:rPr>
    </w:pPr>
    <w:r>
      <w:rPr>
        <w:rFonts w:hint="eastAsia" w:ascii="仿宋_GB2312" w:eastAsia="仿宋_GB2312" w:hAnsiTheme="minorEastAsia"/>
        <w:sz w:val="21"/>
        <w:szCs w:val="21"/>
      </w:rPr>
      <w:t>附件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rPr>
        <w:rFonts w:ascii="Times New Roman" w:hAnsi="Times New Roman" w:eastAsia="仿宋_GB2312" w:cs="Times New Roman"/>
        <w:sz w:val="21"/>
        <w:szCs w:val="21"/>
      </w:rPr>
    </w:pPr>
    <w:r>
      <w:rPr>
        <w:rFonts w:ascii="Times New Roman" w:hAnsi="Times New Roman" w:eastAsia="仿宋_GB2312" w:cs="Times New Roman"/>
        <w:sz w:val="21"/>
        <w:szCs w:val="21"/>
      </w:rPr>
      <w:t>1 综合说明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rPr>
        <w:rFonts w:ascii="Times New Roman" w:hAnsi="Times New Roman" w:eastAsia="仿宋_GB2312" w:cs="Times New Roman"/>
        <w:sz w:val="21"/>
        <w:szCs w:val="21"/>
      </w:rPr>
    </w:pPr>
    <w:r>
      <w:rPr>
        <w:rFonts w:ascii="Times New Roman" w:hAnsi="Times New Roman" w:eastAsia="仿宋_GB2312" w:cs="Times New Roman"/>
        <w:sz w:val="21"/>
        <w:szCs w:val="21"/>
      </w:rPr>
      <w:t>2 项目概况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Times New Roman" w:hAnsi="Times New Roman" w:eastAsia="仿宋_GB2312" w:cs="Times New Roman"/>
        <w:sz w:val="21"/>
        <w:szCs w:val="21"/>
      </w:rPr>
    </w:pPr>
    <w:r>
      <w:rPr>
        <w:rFonts w:ascii="Times New Roman" w:hAnsi="Times New Roman" w:eastAsia="仿宋_GB2312" w:cs="Times New Roman"/>
        <w:sz w:val="21"/>
        <w:szCs w:val="21"/>
      </w:rPr>
      <w:t>3 项目水土保持评价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rPr>
        <w:rFonts w:ascii="Times New Roman" w:hAnsi="Times New Roman" w:eastAsia="仿宋_GB2312" w:cs="Times New Roman"/>
        <w:sz w:val="21"/>
        <w:szCs w:val="21"/>
      </w:rPr>
    </w:pPr>
    <w:r>
      <w:rPr>
        <w:rFonts w:ascii="Times New Roman" w:hAnsi="Times New Roman" w:eastAsia="仿宋_GB2312" w:cs="Times New Roman"/>
        <w:sz w:val="21"/>
        <w:szCs w:val="21"/>
      </w:rPr>
      <w:t>5 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Times New Roman" w:hAnsi="Times New Roman" w:eastAsia="仿宋_GB2312" w:cs="Times New Roman"/>
        <w:bCs/>
      </w:rPr>
    </w:pPr>
    <w:r>
      <w:rPr>
        <w:rFonts w:ascii="Times New Roman" w:hAnsi="Times New Roman" w:eastAsia="仿宋_GB2312" w:cs="Times New Roman"/>
        <w:bCs/>
        <w:sz w:val="21"/>
        <w:szCs w:val="21"/>
      </w:rPr>
      <w:t>6 水土保持投资估算及效益分析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B7F41"/>
    <w:multiLevelType w:val="singleLevel"/>
    <w:tmpl w:val="98BB7F41"/>
    <w:lvl w:ilvl="0" w:tentative="0">
      <w:start w:val="1"/>
      <w:numFmt w:val="decimal"/>
      <w:suff w:val="nothing"/>
      <w:lvlText w:val="（%1）"/>
      <w:lvlJc w:val="left"/>
    </w:lvl>
  </w:abstractNum>
  <w:abstractNum w:abstractNumId="1">
    <w:nsid w:val="23675A6D"/>
    <w:multiLevelType w:val="multilevel"/>
    <w:tmpl w:val="23675A6D"/>
    <w:lvl w:ilvl="0" w:tentative="0">
      <w:start w:val="1"/>
      <w:numFmt w:val="decimal"/>
      <w:lvlText w:val="%1）"/>
      <w:lvlJc w:val="left"/>
      <w:pPr>
        <w:ind w:left="1081" w:hanging="361"/>
      </w:pPr>
      <w:rPr>
        <w:rFonts w:hint="default" w:ascii="Times New Roman" w:hAnsi="Times New Roman" w:eastAsia="宋体" w:cs="Times New Roman"/>
        <w:w w:val="100"/>
        <w:sz w:val="22"/>
        <w:szCs w:val="22"/>
      </w:rPr>
    </w:lvl>
    <w:lvl w:ilvl="1" w:tentative="0">
      <w:start w:val="0"/>
      <w:numFmt w:val="bullet"/>
      <w:lvlText w:val="•"/>
      <w:lvlJc w:val="left"/>
      <w:pPr>
        <w:ind w:left="1850" w:hanging="361"/>
      </w:pPr>
      <w:rPr>
        <w:rFonts w:hint="default"/>
      </w:rPr>
    </w:lvl>
    <w:lvl w:ilvl="2" w:tentative="0">
      <w:start w:val="0"/>
      <w:numFmt w:val="bullet"/>
      <w:lvlText w:val="•"/>
      <w:lvlJc w:val="left"/>
      <w:pPr>
        <w:ind w:left="2621" w:hanging="361"/>
      </w:pPr>
      <w:rPr>
        <w:rFonts w:hint="default"/>
      </w:rPr>
    </w:lvl>
    <w:lvl w:ilvl="3" w:tentative="0">
      <w:start w:val="0"/>
      <w:numFmt w:val="bullet"/>
      <w:lvlText w:val="•"/>
      <w:lvlJc w:val="left"/>
      <w:pPr>
        <w:ind w:left="3391" w:hanging="361"/>
      </w:pPr>
      <w:rPr>
        <w:rFonts w:hint="default"/>
      </w:rPr>
    </w:lvl>
    <w:lvl w:ilvl="4" w:tentative="0">
      <w:start w:val="0"/>
      <w:numFmt w:val="bullet"/>
      <w:lvlText w:val="•"/>
      <w:lvlJc w:val="left"/>
      <w:pPr>
        <w:ind w:left="4162" w:hanging="361"/>
      </w:pPr>
      <w:rPr>
        <w:rFonts w:hint="default"/>
      </w:rPr>
    </w:lvl>
    <w:lvl w:ilvl="5" w:tentative="0">
      <w:start w:val="0"/>
      <w:numFmt w:val="bullet"/>
      <w:lvlText w:val="•"/>
      <w:lvlJc w:val="left"/>
      <w:pPr>
        <w:ind w:left="4933" w:hanging="361"/>
      </w:pPr>
      <w:rPr>
        <w:rFonts w:hint="default"/>
      </w:rPr>
    </w:lvl>
    <w:lvl w:ilvl="6" w:tentative="0">
      <w:start w:val="0"/>
      <w:numFmt w:val="bullet"/>
      <w:lvlText w:val="•"/>
      <w:lvlJc w:val="left"/>
      <w:pPr>
        <w:ind w:left="5703" w:hanging="361"/>
      </w:pPr>
      <w:rPr>
        <w:rFonts w:hint="default"/>
      </w:rPr>
    </w:lvl>
    <w:lvl w:ilvl="7" w:tentative="0">
      <w:start w:val="0"/>
      <w:numFmt w:val="bullet"/>
      <w:lvlText w:val="•"/>
      <w:lvlJc w:val="left"/>
      <w:pPr>
        <w:ind w:left="6474" w:hanging="361"/>
      </w:pPr>
      <w:rPr>
        <w:rFonts w:hint="default"/>
      </w:rPr>
    </w:lvl>
    <w:lvl w:ilvl="8" w:tentative="0">
      <w:start w:val="0"/>
      <w:numFmt w:val="bullet"/>
      <w:lvlText w:val="•"/>
      <w:lvlJc w:val="left"/>
      <w:pPr>
        <w:ind w:left="7244" w:hanging="361"/>
      </w:pPr>
      <w:rPr>
        <w:rFonts w:hint="default"/>
      </w:rPr>
    </w:lvl>
  </w:abstractNum>
  <w:abstractNum w:abstractNumId="2">
    <w:nsid w:val="65E4245A"/>
    <w:multiLevelType w:val="multilevel"/>
    <w:tmpl w:val="65E4245A"/>
    <w:lvl w:ilvl="0" w:tentative="0">
      <w:start w:val="1"/>
      <w:numFmt w:val="decimal"/>
      <w:pStyle w:val="101"/>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1148"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694D031D"/>
    <w:multiLevelType w:val="multilevel"/>
    <w:tmpl w:val="694D031D"/>
    <w:lvl w:ilvl="0" w:tentative="0">
      <w:start w:val="1"/>
      <w:numFmt w:val="decimal"/>
      <w:lvlText w:val="%1）"/>
      <w:lvlJc w:val="left"/>
      <w:pPr>
        <w:ind w:left="1078" w:hanging="361"/>
      </w:pPr>
      <w:rPr>
        <w:rFonts w:hint="default" w:ascii="Times New Roman" w:hAnsi="Times New Roman" w:eastAsia="Times New Roman" w:cs="Times New Roman"/>
        <w:w w:val="100"/>
        <w:sz w:val="22"/>
        <w:szCs w:val="22"/>
      </w:rPr>
    </w:lvl>
    <w:lvl w:ilvl="1" w:tentative="0">
      <w:start w:val="0"/>
      <w:numFmt w:val="bullet"/>
      <w:lvlText w:val="•"/>
      <w:lvlJc w:val="left"/>
      <w:pPr>
        <w:ind w:left="1850" w:hanging="361"/>
      </w:pPr>
      <w:rPr>
        <w:rFonts w:hint="default"/>
      </w:rPr>
    </w:lvl>
    <w:lvl w:ilvl="2" w:tentative="0">
      <w:start w:val="0"/>
      <w:numFmt w:val="bullet"/>
      <w:lvlText w:val="•"/>
      <w:lvlJc w:val="left"/>
      <w:pPr>
        <w:ind w:left="2621" w:hanging="361"/>
      </w:pPr>
      <w:rPr>
        <w:rFonts w:hint="default"/>
      </w:rPr>
    </w:lvl>
    <w:lvl w:ilvl="3" w:tentative="0">
      <w:start w:val="0"/>
      <w:numFmt w:val="bullet"/>
      <w:lvlText w:val="•"/>
      <w:lvlJc w:val="left"/>
      <w:pPr>
        <w:ind w:left="3391" w:hanging="361"/>
      </w:pPr>
      <w:rPr>
        <w:rFonts w:hint="default"/>
      </w:rPr>
    </w:lvl>
    <w:lvl w:ilvl="4" w:tentative="0">
      <w:start w:val="0"/>
      <w:numFmt w:val="bullet"/>
      <w:lvlText w:val="•"/>
      <w:lvlJc w:val="left"/>
      <w:pPr>
        <w:ind w:left="4162" w:hanging="361"/>
      </w:pPr>
      <w:rPr>
        <w:rFonts w:hint="default"/>
      </w:rPr>
    </w:lvl>
    <w:lvl w:ilvl="5" w:tentative="0">
      <w:start w:val="0"/>
      <w:numFmt w:val="bullet"/>
      <w:lvlText w:val="•"/>
      <w:lvlJc w:val="left"/>
      <w:pPr>
        <w:ind w:left="4933" w:hanging="361"/>
      </w:pPr>
      <w:rPr>
        <w:rFonts w:hint="default"/>
      </w:rPr>
    </w:lvl>
    <w:lvl w:ilvl="6" w:tentative="0">
      <w:start w:val="0"/>
      <w:numFmt w:val="bullet"/>
      <w:lvlText w:val="•"/>
      <w:lvlJc w:val="left"/>
      <w:pPr>
        <w:ind w:left="5703" w:hanging="361"/>
      </w:pPr>
      <w:rPr>
        <w:rFonts w:hint="default"/>
      </w:rPr>
    </w:lvl>
    <w:lvl w:ilvl="7" w:tentative="0">
      <w:start w:val="0"/>
      <w:numFmt w:val="bullet"/>
      <w:lvlText w:val="•"/>
      <w:lvlJc w:val="left"/>
      <w:pPr>
        <w:ind w:left="6474" w:hanging="361"/>
      </w:pPr>
      <w:rPr>
        <w:rFonts w:hint="default"/>
      </w:rPr>
    </w:lvl>
    <w:lvl w:ilvl="8" w:tentative="0">
      <w:start w:val="0"/>
      <w:numFmt w:val="bullet"/>
      <w:lvlText w:val="•"/>
      <w:lvlJc w:val="left"/>
      <w:pPr>
        <w:ind w:left="7244" w:hanging="361"/>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mNjNhYWQwODI4YmJhYTMyNjY4MTNlZDhhOWY2NTEifQ=="/>
  </w:docVars>
  <w:rsids>
    <w:rsidRoot w:val="004D70B9"/>
    <w:rsid w:val="00001413"/>
    <w:rsid w:val="00002554"/>
    <w:rsid w:val="00004107"/>
    <w:rsid w:val="0000412E"/>
    <w:rsid w:val="000050A9"/>
    <w:rsid w:val="00007339"/>
    <w:rsid w:val="0000763C"/>
    <w:rsid w:val="00010C91"/>
    <w:rsid w:val="000113B3"/>
    <w:rsid w:val="00013D84"/>
    <w:rsid w:val="000145EE"/>
    <w:rsid w:val="00014699"/>
    <w:rsid w:val="00014756"/>
    <w:rsid w:val="00014D87"/>
    <w:rsid w:val="00016476"/>
    <w:rsid w:val="00016812"/>
    <w:rsid w:val="00017093"/>
    <w:rsid w:val="00022A9C"/>
    <w:rsid w:val="00022BEB"/>
    <w:rsid w:val="00022C5D"/>
    <w:rsid w:val="0002532A"/>
    <w:rsid w:val="0002562E"/>
    <w:rsid w:val="000305E6"/>
    <w:rsid w:val="00030888"/>
    <w:rsid w:val="00030CCF"/>
    <w:rsid w:val="000316EB"/>
    <w:rsid w:val="00031AC8"/>
    <w:rsid w:val="00032506"/>
    <w:rsid w:val="000334C5"/>
    <w:rsid w:val="000335A3"/>
    <w:rsid w:val="000343BB"/>
    <w:rsid w:val="0003575B"/>
    <w:rsid w:val="00037A92"/>
    <w:rsid w:val="00037CD1"/>
    <w:rsid w:val="00040746"/>
    <w:rsid w:val="000412C4"/>
    <w:rsid w:val="00042C4F"/>
    <w:rsid w:val="00044EFD"/>
    <w:rsid w:val="00045E95"/>
    <w:rsid w:val="00046A84"/>
    <w:rsid w:val="00046B9C"/>
    <w:rsid w:val="00050764"/>
    <w:rsid w:val="00050794"/>
    <w:rsid w:val="00050A32"/>
    <w:rsid w:val="00050BF6"/>
    <w:rsid w:val="00050D46"/>
    <w:rsid w:val="000520F3"/>
    <w:rsid w:val="00052CDA"/>
    <w:rsid w:val="00053D79"/>
    <w:rsid w:val="00053FBF"/>
    <w:rsid w:val="000553D7"/>
    <w:rsid w:val="00056C18"/>
    <w:rsid w:val="00057330"/>
    <w:rsid w:val="000637C3"/>
    <w:rsid w:val="000643D2"/>
    <w:rsid w:val="0006476F"/>
    <w:rsid w:val="000648DF"/>
    <w:rsid w:val="000652CE"/>
    <w:rsid w:val="000652E8"/>
    <w:rsid w:val="000655C0"/>
    <w:rsid w:val="00065EC9"/>
    <w:rsid w:val="00067845"/>
    <w:rsid w:val="00070ED4"/>
    <w:rsid w:val="0007148D"/>
    <w:rsid w:val="000741FE"/>
    <w:rsid w:val="0007531E"/>
    <w:rsid w:val="0008190D"/>
    <w:rsid w:val="000821CC"/>
    <w:rsid w:val="00082AE6"/>
    <w:rsid w:val="00082B3C"/>
    <w:rsid w:val="000838AC"/>
    <w:rsid w:val="000839B9"/>
    <w:rsid w:val="00083FD3"/>
    <w:rsid w:val="00084F40"/>
    <w:rsid w:val="0008601F"/>
    <w:rsid w:val="000862EB"/>
    <w:rsid w:val="00086330"/>
    <w:rsid w:val="00087814"/>
    <w:rsid w:val="000905E8"/>
    <w:rsid w:val="0009099B"/>
    <w:rsid w:val="00090F55"/>
    <w:rsid w:val="00091EBC"/>
    <w:rsid w:val="000921B4"/>
    <w:rsid w:val="0009438D"/>
    <w:rsid w:val="000944A8"/>
    <w:rsid w:val="00094728"/>
    <w:rsid w:val="00097E65"/>
    <w:rsid w:val="000A0C34"/>
    <w:rsid w:val="000A1E51"/>
    <w:rsid w:val="000A206E"/>
    <w:rsid w:val="000A2726"/>
    <w:rsid w:val="000A3028"/>
    <w:rsid w:val="000A57FE"/>
    <w:rsid w:val="000A5C79"/>
    <w:rsid w:val="000A698A"/>
    <w:rsid w:val="000A72F1"/>
    <w:rsid w:val="000A751B"/>
    <w:rsid w:val="000B288E"/>
    <w:rsid w:val="000B36A1"/>
    <w:rsid w:val="000B3C4B"/>
    <w:rsid w:val="000B4ABC"/>
    <w:rsid w:val="000B4B64"/>
    <w:rsid w:val="000B6F03"/>
    <w:rsid w:val="000B74BF"/>
    <w:rsid w:val="000B7662"/>
    <w:rsid w:val="000B772A"/>
    <w:rsid w:val="000C193D"/>
    <w:rsid w:val="000C1E31"/>
    <w:rsid w:val="000C261E"/>
    <w:rsid w:val="000C275E"/>
    <w:rsid w:val="000C3398"/>
    <w:rsid w:val="000C3615"/>
    <w:rsid w:val="000C59B3"/>
    <w:rsid w:val="000C6873"/>
    <w:rsid w:val="000D06DA"/>
    <w:rsid w:val="000D0A28"/>
    <w:rsid w:val="000D11E9"/>
    <w:rsid w:val="000D167F"/>
    <w:rsid w:val="000D1B29"/>
    <w:rsid w:val="000D251B"/>
    <w:rsid w:val="000D2F8C"/>
    <w:rsid w:val="000D43B6"/>
    <w:rsid w:val="000D4BA6"/>
    <w:rsid w:val="000D4BDC"/>
    <w:rsid w:val="000D4E0E"/>
    <w:rsid w:val="000D56BA"/>
    <w:rsid w:val="000D5AFB"/>
    <w:rsid w:val="000D625F"/>
    <w:rsid w:val="000D7F8F"/>
    <w:rsid w:val="000E052B"/>
    <w:rsid w:val="000E0B71"/>
    <w:rsid w:val="000E1145"/>
    <w:rsid w:val="000E14E3"/>
    <w:rsid w:val="000E207B"/>
    <w:rsid w:val="000E3202"/>
    <w:rsid w:val="000E3D78"/>
    <w:rsid w:val="000E60A7"/>
    <w:rsid w:val="000E67A6"/>
    <w:rsid w:val="000E7374"/>
    <w:rsid w:val="000F0DAE"/>
    <w:rsid w:val="000F0E19"/>
    <w:rsid w:val="000F17F2"/>
    <w:rsid w:val="000F2B15"/>
    <w:rsid w:val="000F583C"/>
    <w:rsid w:val="000F58A7"/>
    <w:rsid w:val="000F7117"/>
    <w:rsid w:val="000F7790"/>
    <w:rsid w:val="000F7B42"/>
    <w:rsid w:val="000F7C36"/>
    <w:rsid w:val="000F7FF1"/>
    <w:rsid w:val="000F7FF4"/>
    <w:rsid w:val="001001CC"/>
    <w:rsid w:val="001019F4"/>
    <w:rsid w:val="0010291A"/>
    <w:rsid w:val="00102F55"/>
    <w:rsid w:val="0010309F"/>
    <w:rsid w:val="00103F90"/>
    <w:rsid w:val="00104624"/>
    <w:rsid w:val="00105805"/>
    <w:rsid w:val="001058BA"/>
    <w:rsid w:val="001058EE"/>
    <w:rsid w:val="00106662"/>
    <w:rsid w:val="00107685"/>
    <w:rsid w:val="00107828"/>
    <w:rsid w:val="00112B6A"/>
    <w:rsid w:val="001142FA"/>
    <w:rsid w:val="001143BC"/>
    <w:rsid w:val="00115747"/>
    <w:rsid w:val="00115A3C"/>
    <w:rsid w:val="00116601"/>
    <w:rsid w:val="001175F2"/>
    <w:rsid w:val="00117D70"/>
    <w:rsid w:val="001208E6"/>
    <w:rsid w:val="00120E5F"/>
    <w:rsid w:val="00121210"/>
    <w:rsid w:val="00122504"/>
    <w:rsid w:val="00122F5E"/>
    <w:rsid w:val="001253BA"/>
    <w:rsid w:val="00125574"/>
    <w:rsid w:val="00125ACB"/>
    <w:rsid w:val="00127CED"/>
    <w:rsid w:val="001302E2"/>
    <w:rsid w:val="00131B26"/>
    <w:rsid w:val="00132C17"/>
    <w:rsid w:val="00136956"/>
    <w:rsid w:val="00137656"/>
    <w:rsid w:val="00137723"/>
    <w:rsid w:val="0014011A"/>
    <w:rsid w:val="00140AAE"/>
    <w:rsid w:val="00141937"/>
    <w:rsid w:val="00142419"/>
    <w:rsid w:val="001427C9"/>
    <w:rsid w:val="001429A2"/>
    <w:rsid w:val="0014375B"/>
    <w:rsid w:val="00143C04"/>
    <w:rsid w:val="00143D33"/>
    <w:rsid w:val="00144204"/>
    <w:rsid w:val="0014488A"/>
    <w:rsid w:val="00144BDC"/>
    <w:rsid w:val="0014550E"/>
    <w:rsid w:val="00146F0A"/>
    <w:rsid w:val="001471B4"/>
    <w:rsid w:val="00147EC3"/>
    <w:rsid w:val="00150269"/>
    <w:rsid w:val="001503FB"/>
    <w:rsid w:val="0015060E"/>
    <w:rsid w:val="0015085F"/>
    <w:rsid w:val="001530C2"/>
    <w:rsid w:val="0015592D"/>
    <w:rsid w:val="0015632B"/>
    <w:rsid w:val="0015711D"/>
    <w:rsid w:val="00157DFB"/>
    <w:rsid w:val="00161458"/>
    <w:rsid w:val="00161B3F"/>
    <w:rsid w:val="00161F1E"/>
    <w:rsid w:val="001624EE"/>
    <w:rsid w:val="00162552"/>
    <w:rsid w:val="001627A0"/>
    <w:rsid w:val="00162DA6"/>
    <w:rsid w:val="001644AF"/>
    <w:rsid w:val="00164748"/>
    <w:rsid w:val="00165CA2"/>
    <w:rsid w:val="001661CD"/>
    <w:rsid w:val="00166B26"/>
    <w:rsid w:val="001703BC"/>
    <w:rsid w:val="00172713"/>
    <w:rsid w:val="00173FBF"/>
    <w:rsid w:val="00180264"/>
    <w:rsid w:val="001810F3"/>
    <w:rsid w:val="001817FE"/>
    <w:rsid w:val="00182F52"/>
    <w:rsid w:val="00185F25"/>
    <w:rsid w:val="00186423"/>
    <w:rsid w:val="00186709"/>
    <w:rsid w:val="00186EF0"/>
    <w:rsid w:val="00187054"/>
    <w:rsid w:val="00187FE9"/>
    <w:rsid w:val="00191A3C"/>
    <w:rsid w:val="00191CED"/>
    <w:rsid w:val="00191DAA"/>
    <w:rsid w:val="00193709"/>
    <w:rsid w:val="00196A82"/>
    <w:rsid w:val="00196D51"/>
    <w:rsid w:val="00197CBB"/>
    <w:rsid w:val="001A0667"/>
    <w:rsid w:val="001A2907"/>
    <w:rsid w:val="001A3722"/>
    <w:rsid w:val="001A45F7"/>
    <w:rsid w:val="001A5AD7"/>
    <w:rsid w:val="001A6424"/>
    <w:rsid w:val="001A6A9C"/>
    <w:rsid w:val="001A7A9D"/>
    <w:rsid w:val="001B0B2A"/>
    <w:rsid w:val="001B230E"/>
    <w:rsid w:val="001B3AE4"/>
    <w:rsid w:val="001B4C83"/>
    <w:rsid w:val="001B5978"/>
    <w:rsid w:val="001B6A25"/>
    <w:rsid w:val="001B6B0A"/>
    <w:rsid w:val="001B7389"/>
    <w:rsid w:val="001B7C92"/>
    <w:rsid w:val="001C0159"/>
    <w:rsid w:val="001C0F5A"/>
    <w:rsid w:val="001C135B"/>
    <w:rsid w:val="001C135C"/>
    <w:rsid w:val="001C1482"/>
    <w:rsid w:val="001C1AE3"/>
    <w:rsid w:val="001C3520"/>
    <w:rsid w:val="001C399F"/>
    <w:rsid w:val="001C3A7D"/>
    <w:rsid w:val="001C613A"/>
    <w:rsid w:val="001D034A"/>
    <w:rsid w:val="001D0D5E"/>
    <w:rsid w:val="001D2F45"/>
    <w:rsid w:val="001D5B8B"/>
    <w:rsid w:val="001D5EFA"/>
    <w:rsid w:val="001D6327"/>
    <w:rsid w:val="001D66E7"/>
    <w:rsid w:val="001E06BC"/>
    <w:rsid w:val="001E0920"/>
    <w:rsid w:val="001E1F20"/>
    <w:rsid w:val="001E3286"/>
    <w:rsid w:val="001E32AB"/>
    <w:rsid w:val="001E409A"/>
    <w:rsid w:val="001E4D96"/>
    <w:rsid w:val="001E4FC5"/>
    <w:rsid w:val="001F15A9"/>
    <w:rsid w:val="001F16C7"/>
    <w:rsid w:val="001F280B"/>
    <w:rsid w:val="001F2EDD"/>
    <w:rsid w:val="001F3497"/>
    <w:rsid w:val="001F366E"/>
    <w:rsid w:val="001F3BF0"/>
    <w:rsid w:val="001F4CDE"/>
    <w:rsid w:val="001F4FB8"/>
    <w:rsid w:val="001F524D"/>
    <w:rsid w:val="001F5631"/>
    <w:rsid w:val="001F5D0D"/>
    <w:rsid w:val="001F62D4"/>
    <w:rsid w:val="001F76B3"/>
    <w:rsid w:val="002016C4"/>
    <w:rsid w:val="00201E65"/>
    <w:rsid w:val="00203638"/>
    <w:rsid w:val="00203909"/>
    <w:rsid w:val="00204B2E"/>
    <w:rsid w:val="002062D5"/>
    <w:rsid w:val="00207314"/>
    <w:rsid w:val="00207746"/>
    <w:rsid w:val="00210225"/>
    <w:rsid w:val="00210FE2"/>
    <w:rsid w:val="00211443"/>
    <w:rsid w:val="00211A82"/>
    <w:rsid w:val="0021200E"/>
    <w:rsid w:val="0021317C"/>
    <w:rsid w:val="0021356F"/>
    <w:rsid w:val="002147D0"/>
    <w:rsid w:val="0021492A"/>
    <w:rsid w:val="0021508A"/>
    <w:rsid w:val="00215C46"/>
    <w:rsid w:val="00216770"/>
    <w:rsid w:val="00216CAC"/>
    <w:rsid w:val="002176A2"/>
    <w:rsid w:val="0022039A"/>
    <w:rsid w:val="00220AAF"/>
    <w:rsid w:val="00220EF3"/>
    <w:rsid w:val="002217B8"/>
    <w:rsid w:val="00230B43"/>
    <w:rsid w:val="00230D82"/>
    <w:rsid w:val="00232697"/>
    <w:rsid w:val="0023302B"/>
    <w:rsid w:val="0023478F"/>
    <w:rsid w:val="00234F71"/>
    <w:rsid w:val="00235224"/>
    <w:rsid w:val="002358A8"/>
    <w:rsid w:val="00235E0A"/>
    <w:rsid w:val="00236512"/>
    <w:rsid w:val="0023712F"/>
    <w:rsid w:val="00240C39"/>
    <w:rsid w:val="0024146D"/>
    <w:rsid w:val="00241D30"/>
    <w:rsid w:val="00242713"/>
    <w:rsid w:val="002431DF"/>
    <w:rsid w:val="00243306"/>
    <w:rsid w:val="0024458D"/>
    <w:rsid w:val="00244B5E"/>
    <w:rsid w:val="00244DBE"/>
    <w:rsid w:val="002450A4"/>
    <w:rsid w:val="00245C5E"/>
    <w:rsid w:val="00246416"/>
    <w:rsid w:val="00246D25"/>
    <w:rsid w:val="0024736B"/>
    <w:rsid w:val="002475B4"/>
    <w:rsid w:val="002479FA"/>
    <w:rsid w:val="00247B06"/>
    <w:rsid w:val="002515EA"/>
    <w:rsid w:val="00254846"/>
    <w:rsid w:val="00255499"/>
    <w:rsid w:val="00256FAF"/>
    <w:rsid w:val="002579B3"/>
    <w:rsid w:val="00260DD1"/>
    <w:rsid w:val="002627B2"/>
    <w:rsid w:val="00263184"/>
    <w:rsid w:val="00263985"/>
    <w:rsid w:val="002660C0"/>
    <w:rsid w:val="00270280"/>
    <w:rsid w:val="002704C4"/>
    <w:rsid w:val="00271E1F"/>
    <w:rsid w:val="00271F0A"/>
    <w:rsid w:val="00273A51"/>
    <w:rsid w:val="00275090"/>
    <w:rsid w:val="002760E3"/>
    <w:rsid w:val="00276C31"/>
    <w:rsid w:val="002771D7"/>
    <w:rsid w:val="00277848"/>
    <w:rsid w:val="00277EE6"/>
    <w:rsid w:val="002800AE"/>
    <w:rsid w:val="002802F2"/>
    <w:rsid w:val="0028092A"/>
    <w:rsid w:val="00280BF1"/>
    <w:rsid w:val="0028275E"/>
    <w:rsid w:val="002829ED"/>
    <w:rsid w:val="00283601"/>
    <w:rsid w:val="002853B5"/>
    <w:rsid w:val="00285476"/>
    <w:rsid w:val="00286AF9"/>
    <w:rsid w:val="002933D3"/>
    <w:rsid w:val="00293C01"/>
    <w:rsid w:val="002946ED"/>
    <w:rsid w:val="00294C80"/>
    <w:rsid w:val="0029521F"/>
    <w:rsid w:val="002979CB"/>
    <w:rsid w:val="002A0B0C"/>
    <w:rsid w:val="002A11FF"/>
    <w:rsid w:val="002A1F1A"/>
    <w:rsid w:val="002A35C7"/>
    <w:rsid w:val="002A37FD"/>
    <w:rsid w:val="002A3971"/>
    <w:rsid w:val="002A514D"/>
    <w:rsid w:val="002A70A0"/>
    <w:rsid w:val="002B0674"/>
    <w:rsid w:val="002B0EE8"/>
    <w:rsid w:val="002B111C"/>
    <w:rsid w:val="002B17CF"/>
    <w:rsid w:val="002B1E5D"/>
    <w:rsid w:val="002B20FF"/>
    <w:rsid w:val="002B22DA"/>
    <w:rsid w:val="002B2FE8"/>
    <w:rsid w:val="002B313E"/>
    <w:rsid w:val="002B37EF"/>
    <w:rsid w:val="002B3C6F"/>
    <w:rsid w:val="002B47C9"/>
    <w:rsid w:val="002B4805"/>
    <w:rsid w:val="002B517D"/>
    <w:rsid w:val="002B540B"/>
    <w:rsid w:val="002B6B5D"/>
    <w:rsid w:val="002B6ED5"/>
    <w:rsid w:val="002B71AB"/>
    <w:rsid w:val="002B7B70"/>
    <w:rsid w:val="002C19EF"/>
    <w:rsid w:val="002C1E25"/>
    <w:rsid w:val="002C2BC4"/>
    <w:rsid w:val="002C3340"/>
    <w:rsid w:val="002C6FBA"/>
    <w:rsid w:val="002C78C1"/>
    <w:rsid w:val="002D0D34"/>
    <w:rsid w:val="002D0F67"/>
    <w:rsid w:val="002D32C3"/>
    <w:rsid w:val="002D351F"/>
    <w:rsid w:val="002D3B02"/>
    <w:rsid w:val="002D7C84"/>
    <w:rsid w:val="002E03D9"/>
    <w:rsid w:val="002E0674"/>
    <w:rsid w:val="002E18B1"/>
    <w:rsid w:val="002E1C07"/>
    <w:rsid w:val="002E1C0E"/>
    <w:rsid w:val="002E244D"/>
    <w:rsid w:val="002E2677"/>
    <w:rsid w:val="002E368C"/>
    <w:rsid w:val="002E37BB"/>
    <w:rsid w:val="002E4EE9"/>
    <w:rsid w:val="002E5BD6"/>
    <w:rsid w:val="002E71F0"/>
    <w:rsid w:val="002F0FC1"/>
    <w:rsid w:val="002F132F"/>
    <w:rsid w:val="002F1909"/>
    <w:rsid w:val="002F252E"/>
    <w:rsid w:val="002F2811"/>
    <w:rsid w:val="002F3878"/>
    <w:rsid w:val="002F4FBE"/>
    <w:rsid w:val="002F588B"/>
    <w:rsid w:val="002F5991"/>
    <w:rsid w:val="002F5B0B"/>
    <w:rsid w:val="002F6508"/>
    <w:rsid w:val="0030022B"/>
    <w:rsid w:val="0030038F"/>
    <w:rsid w:val="0030072F"/>
    <w:rsid w:val="00301566"/>
    <w:rsid w:val="0030190A"/>
    <w:rsid w:val="00302A9B"/>
    <w:rsid w:val="00303705"/>
    <w:rsid w:val="00303B0E"/>
    <w:rsid w:val="00304186"/>
    <w:rsid w:val="00304C14"/>
    <w:rsid w:val="00305923"/>
    <w:rsid w:val="003061D9"/>
    <w:rsid w:val="003064F4"/>
    <w:rsid w:val="00306DE5"/>
    <w:rsid w:val="003070DE"/>
    <w:rsid w:val="00310560"/>
    <w:rsid w:val="00310E1D"/>
    <w:rsid w:val="00311B3A"/>
    <w:rsid w:val="0031230D"/>
    <w:rsid w:val="00312805"/>
    <w:rsid w:val="003132BD"/>
    <w:rsid w:val="003136BE"/>
    <w:rsid w:val="00313A2C"/>
    <w:rsid w:val="00313CA2"/>
    <w:rsid w:val="003141A2"/>
    <w:rsid w:val="003141AD"/>
    <w:rsid w:val="00315ACF"/>
    <w:rsid w:val="00315C4E"/>
    <w:rsid w:val="00316851"/>
    <w:rsid w:val="00317CB8"/>
    <w:rsid w:val="00317EEB"/>
    <w:rsid w:val="00320044"/>
    <w:rsid w:val="00320F1A"/>
    <w:rsid w:val="0032102A"/>
    <w:rsid w:val="00321B59"/>
    <w:rsid w:val="00322AC9"/>
    <w:rsid w:val="00323449"/>
    <w:rsid w:val="00323981"/>
    <w:rsid w:val="003239A7"/>
    <w:rsid w:val="003258A8"/>
    <w:rsid w:val="00325BDF"/>
    <w:rsid w:val="00325DB6"/>
    <w:rsid w:val="00325F52"/>
    <w:rsid w:val="00327414"/>
    <w:rsid w:val="003276F4"/>
    <w:rsid w:val="00330273"/>
    <w:rsid w:val="00330A99"/>
    <w:rsid w:val="00330D75"/>
    <w:rsid w:val="003319A7"/>
    <w:rsid w:val="00332571"/>
    <w:rsid w:val="00332640"/>
    <w:rsid w:val="00332701"/>
    <w:rsid w:val="00332873"/>
    <w:rsid w:val="00332A78"/>
    <w:rsid w:val="00332E44"/>
    <w:rsid w:val="00332F99"/>
    <w:rsid w:val="0033307B"/>
    <w:rsid w:val="0033330E"/>
    <w:rsid w:val="0033369F"/>
    <w:rsid w:val="0033602E"/>
    <w:rsid w:val="003366BA"/>
    <w:rsid w:val="00336864"/>
    <w:rsid w:val="00336D1A"/>
    <w:rsid w:val="00337579"/>
    <w:rsid w:val="00337CAD"/>
    <w:rsid w:val="00341249"/>
    <w:rsid w:val="00341393"/>
    <w:rsid w:val="0034236E"/>
    <w:rsid w:val="00342905"/>
    <w:rsid w:val="003430E3"/>
    <w:rsid w:val="00346517"/>
    <w:rsid w:val="00346CF1"/>
    <w:rsid w:val="0034745D"/>
    <w:rsid w:val="00352CF6"/>
    <w:rsid w:val="00352F5C"/>
    <w:rsid w:val="00353235"/>
    <w:rsid w:val="003532EA"/>
    <w:rsid w:val="00353519"/>
    <w:rsid w:val="0035696D"/>
    <w:rsid w:val="00356E2D"/>
    <w:rsid w:val="003577BA"/>
    <w:rsid w:val="003618AF"/>
    <w:rsid w:val="003621DD"/>
    <w:rsid w:val="003633ED"/>
    <w:rsid w:val="003634EE"/>
    <w:rsid w:val="003640BE"/>
    <w:rsid w:val="0036415B"/>
    <w:rsid w:val="003644F1"/>
    <w:rsid w:val="00364DD5"/>
    <w:rsid w:val="003665B7"/>
    <w:rsid w:val="00366CCC"/>
    <w:rsid w:val="00366ED5"/>
    <w:rsid w:val="003676BB"/>
    <w:rsid w:val="003708C4"/>
    <w:rsid w:val="00370932"/>
    <w:rsid w:val="003723E1"/>
    <w:rsid w:val="003724D3"/>
    <w:rsid w:val="00372FF5"/>
    <w:rsid w:val="00373494"/>
    <w:rsid w:val="00373E45"/>
    <w:rsid w:val="00374058"/>
    <w:rsid w:val="00374CF8"/>
    <w:rsid w:val="00375904"/>
    <w:rsid w:val="00375E82"/>
    <w:rsid w:val="00376C6A"/>
    <w:rsid w:val="003778F2"/>
    <w:rsid w:val="0037792F"/>
    <w:rsid w:val="0038220B"/>
    <w:rsid w:val="00382C63"/>
    <w:rsid w:val="00383612"/>
    <w:rsid w:val="00383873"/>
    <w:rsid w:val="0038495E"/>
    <w:rsid w:val="00385C28"/>
    <w:rsid w:val="003879AC"/>
    <w:rsid w:val="00387A0A"/>
    <w:rsid w:val="00387A3F"/>
    <w:rsid w:val="0039069D"/>
    <w:rsid w:val="003915F5"/>
    <w:rsid w:val="00391CA1"/>
    <w:rsid w:val="00391F35"/>
    <w:rsid w:val="0039600F"/>
    <w:rsid w:val="003A163F"/>
    <w:rsid w:val="003A23C2"/>
    <w:rsid w:val="003A2923"/>
    <w:rsid w:val="003A2CB4"/>
    <w:rsid w:val="003A3CAA"/>
    <w:rsid w:val="003A3F7E"/>
    <w:rsid w:val="003A496D"/>
    <w:rsid w:val="003A52E2"/>
    <w:rsid w:val="003A5DC8"/>
    <w:rsid w:val="003A6AFD"/>
    <w:rsid w:val="003B0E70"/>
    <w:rsid w:val="003B3585"/>
    <w:rsid w:val="003B505A"/>
    <w:rsid w:val="003B55EF"/>
    <w:rsid w:val="003B6616"/>
    <w:rsid w:val="003B68AB"/>
    <w:rsid w:val="003B6CA7"/>
    <w:rsid w:val="003B7811"/>
    <w:rsid w:val="003C1252"/>
    <w:rsid w:val="003C1C9E"/>
    <w:rsid w:val="003C2884"/>
    <w:rsid w:val="003C2FEA"/>
    <w:rsid w:val="003C31F8"/>
    <w:rsid w:val="003C3213"/>
    <w:rsid w:val="003C32C2"/>
    <w:rsid w:val="003C51F6"/>
    <w:rsid w:val="003C60C1"/>
    <w:rsid w:val="003C6B1F"/>
    <w:rsid w:val="003C7C94"/>
    <w:rsid w:val="003C7DD0"/>
    <w:rsid w:val="003D13E8"/>
    <w:rsid w:val="003D1841"/>
    <w:rsid w:val="003D2C45"/>
    <w:rsid w:val="003D4E42"/>
    <w:rsid w:val="003D5A1E"/>
    <w:rsid w:val="003D5E6D"/>
    <w:rsid w:val="003D6DA9"/>
    <w:rsid w:val="003D7F44"/>
    <w:rsid w:val="003E00B3"/>
    <w:rsid w:val="003E0457"/>
    <w:rsid w:val="003E0D9C"/>
    <w:rsid w:val="003E2901"/>
    <w:rsid w:val="003E4214"/>
    <w:rsid w:val="003E4A51"/>
    <w:rsid w:val="003E6323"/>
    <w:rsid w:val="003E7C48"/>
    <w:rsid w:val="003F092D"/>
    <w:rsid w:val="003F101B"/>
    <w:rsid w:val="003F12B4"/>
    <w:rsid w:val="003F13E9"/>
    <w:rsid w:val="003F20B1"/>
    <w:rsid w:val="003F377A"/>
    <w:rsid w:val="003F4AC3"/>
    <w:rsid w:val="003F4F75"/>
    <w:rsid w:val="003F5C5B"/>
    <w:rsid w:val="003F6A5D"/>
    <w:rsid w:val="003F716F"/>
    <w:rsid w:val="003F7559"/>
    <w:rsid w:val="00402712"/>
    <w:rsid w:val="00403D58"/>
    <w:rsid w:val="004040A5"/>
    <w:rsid w:val="0040432F"/>
    <w:rsid w:val="00404F6E"/>
    <w:rsid w:val="00406677"/>
    <w:rsid w:val="0040712C"/>
    <w:rsid w:val="004074A2"/>
    <w:rsid w:val="0040764B"/>
    <w:rsid w:val="004076DE"/>
    <w:rsid w:val="00407CF3"/>
    <w:rsid w:val="004105B9"/>
    <w:rsid w:val="00411869"/>
    <w:rsid w:val="00411C83"/>
    <w:rsid w:val="004130AF"/>
    <w:rsid w:val="00413DC8"/>
    <w:rsid w:val="004141A8"/>
    <w:rsid w:val="004153F5"/>
    <w:rsid w:val="0041572C"/>
    <w:rsid w:val="00416FF8"/>
    <w:rsid w:val="0041711F"/>
    <w:rsid w:val="0041788C"/>
    <w:rsid w:val="004203FD"/>
    <w:rsid w:val="004207FB"/>
    <w:rsid w:val="00420915"/>
    <w:rsid w:val="00420D7D"/>
    <w:rsid w:val="00421B62"/>
    <w:rsid w:val="00422828"/>
    <w:rsid w:val="00422FC6"/>
    <w:rsid w:val="0042348B"/>
    <w:rsid w:val="00423FD6"/>
    <w:rsid w:val="004247C3"/>
    <w:rsid w:val="00424986"/>
    <w:rsid w:val="0042556F"/>
    <w:rsid w:val="00425F43"/>
    <w:rsid w:val="00427F3D"/>
    <w:rsid w:val="00430484"/>
    <w:rsid w:val="00430E98"/>
    <w:rsid w:val="00430F20"/>
    <w:rsid w:val="00431EFB"/>
    <w:rsid w:val="004320F0"/>
    <w:rsid w:val="00432696"/>
    <w:rsid w:val="00433CD7"/>
    <w:rsid w:val="004346D3"/>
    <w:rsid w:val="00435906"/>
    <w:rsid w:val="00435AF0"/>
    <w:rsid w:val="00435D99"/>
    <w:rsid w:val="00436452"/>
    <w:rsid w:val="00436568"/>
    <w:rsid w:val="0044094F"/>
    <w:rsid w:val="00440CEB"/>
    <w:rsid w:val="00441362"/>
    <w:rsid w:val="0044161A"/>
    <w:rsid w:val="0044357F"/>
    <w:rsid w:val="004447F1"/>
    <w:rsid w:val="0044558B"/>
    <w:rsid w:val="00447C03"/>
    <w:rsid w:val="004506CD"/>
    <w:rsid w:val="00450CE3"/>
    <w:rsid w:val="0045205C"/>
    <w:rsid w:val="0045404E"/>
    <w:rsid w:val="00456A16"/>
    <w:rsid w:val="00456A7A"/>
    <w:rsid w:val="004574FA"/>
    <w:rsid w:val="004578E5"/>
    <w:rsid w:val="00457938"/>
    <w:rsid w:val="00457BD7"/>
    <w:rsid w:val="00457D19"/>
    <w:rsid w:val="004619DF"/>
    <w:rsid w:val="0046226A"/>
    <w:rsid w:val="00462FF1"/>
    <w:rsid w:val="00463B83"/>
    <w:rsid w:val="004660BC"/>
    <w:rsid w:val="0046699F"/>
    <w:rsid w:val="00470427"/>
    <w:rsid w:val="0047296E"/>
    <w:rsid w:val="00473463"/>
    <w:rsid w:val="00474F7B"/>
    <w:rsid w:val="00475159"/>
    <w:rsid w:val="004752ED"/>
    <w:rsid w:val="00475F76"/>
    <w:rsid w:val="0047675A"/>
    <w:rsid w:val="0047710D"/>
    <w:rsid w:val="00481453"/>
    <w:rsid w:val="00482269"/>
    <w:rsid w:val="004825AC"/>
    <w:rsid w:val="0048271A"/>
    <w:rsid w:val="004836D2"/>
    <w:rsid w:val="0048454C"/>
    <w:rsid w:val="00485FD0"/>
    <w:rsid w:val="00486034"/>
    <w:rsid w:val="00486334"/>
    <w:rsid w:val="0048712A"/>
    <w:rsid w:val="00487FAD"/>
    <w:rsid w:val="00487FF4"/>
    <w:rsid w:val="00490C48"/>
    <w:rsid w:val="00490E15"/>
    <w:rsid w:val="0049139B"/>
    <w:rsid w:val="00494308"/>
    <w:rsid w:val="004944FC"/>
    <w:rsid w:val="00494D3C"/>
    <w:rsid w:val="00495906"/>
    <w:rsid w:val="0049706D"/>
    <w:rsid w:val="00497676"/>
    <w:rsid w:val="004A01CE"/>
    <w:rsid w:val="004A01CF"/>
    <w:rsid w:val="004A041F"/>
    <w:rsid w:val="004A06D9"/>
    <w:rsid w:val="004A0E8C"/>
    <w:rsid w:val="004A1641"/>
    <w:rsid w:val="004A21D3"/>
    <w:rsid w:val="004A3474"/>
    <w:rsid w:val="004A35AF"/>
    <w:rsid w:val="004A43C1"/>
    <w:rsid w:val="004A524A"/>
    <w:rsid w:val="004A54AE"/>
    <w:rsid w:val="004A7649"/>
    <w:rsid w:val="004A79ED"/>
    <w:rsid w:val="004B0E47"/>
    <w:rsid w:val="004B1A29"/>
    <w:rsid w:val="004B2473"/>
    <w:rsid w:val="004B46BE"/>
    <w:rsid w:val="004B46CB"/>
    <w:rsid w:val="004B558C"/>
    <w:rsid w:val="004B63C8"/>
    <w:rsid w:val="004B6E71"/>
    <w:rsid w:val="004C02DF"/>
    <w:rsid w:val="004C0419"/>
    <w:rsid w:val="004C0D90"/>
    <w:rsid w:val="004C17C0"/>
    <w:rsid w:val="004C1B5F"/>
    <w:rsid w:val="004C1D6F"/>
    <w:rsid w:val="004C25F3"/>
    <w:rsid w:val="004C2A18"/>
    <w:rsid w:val="004C4BCE"/>
    <w:rsid w:val="004C4C95"/>
    <w:rsid w:val="004C505D"/>
    <w:rsid w:val="004C5E07"/>
    <w:rsid w:val="004C5F6C"/>
    <w:rsid w:val="004C602F"/>
    <w:rsid w:val="004C6219"/>
    <w:rsid w:val="004D0E26"/>
    <w:rsid w:val="004D0F28"/>
    <w:rsid w:val="004D1C41"/>
    <w:rsid w:val="004D20DD"/>
    <w:rsid w:val="004D257C"/>
    <w:rsid w:val="004D25A2"/>
    <w:rsid w:val="004D265B"/>
    <w:rsid w:val="004D51AC"/>
    <w:rsid w:val="004D5A1B"/>
    <w:rsid w:val="004D67F2"/>
    <w:rsid w:val="004D6AE2"/>
    <w:rsid w:val="004D70B9"/>
    <w:rsid w:val="004D7BB8"/>
    <w:rsid w:val="004E0737"/>
    <w:rsid w:val="004E104A"/>
    <w:rsid w:val="004E13E7"/>
    <w:rsid w:val="004E1668"/>
    <w:rsid w:val="004E2976"/>
    <w:rsid w:val="004E59E9"/>
    <w:rsid w:val="004E5CA1"/>
    <w:rsid w:val="004E5F89"/>
    <w:rsid w:val="004E643E"/>
    <w:rsid w:val="004E6D09"/>
    <w:rsid w:val="004E737E"/>
    <w:rsid w:val="004F179E"/>
    <w:rsid w:val="004F1D3B"/>
    <w:rsid w:val="004F4F4F"/>
    <w:rsid w:val="004F5A02"/>
    <w:rsid w:val="004F66C8"/>
    <w:rsid w:val="004F7D34"/>
    <w:rsid w:val="004F7DE9"/>
    <w:rsid w:val="005005D5"/>
    <w:rsid w:val="00501AE3"/>
    <w:rsid w:val="00502964"/>
    <w:rsid w:val="00503E2B"/>
    <w:rsid w:val="005050F0"/>
    <w:rsid w:val="00505444"/>
    <w:rsid w:val="00510A28"/>
    <w:rsid w:val="005118AB"/>
    <w:rsid w:val="00511CA1"/>
    <w:rsid w:val="00512A8E"/>
    <w:rsid w:val="00515C6D"/>
    <w:rsid w:val="005165F5"/>
    <w:rsid w:val="00516DF5"/>
    <w:rsid w:val="00517607"/>
    <w:rsid w:val="00517CB6"/>
    <w:rsid w:val="00517D3D"/>
    <w:rsid w:val="00520661"/>
    <w:rsid w:val="0052071E"/>
    <w:rsid w:val="0052228F"/>
    <w:rsid w:val="0052281F"/>
    <w:rsid w:val="00525342"/>
    <w:rsid w:val="005258DD"/>
    <w:rsid w:val="005258EE"/>
    <w:rsid w:val="00526664"/>
    <w:rsid w:val="00527B97"/>
    <w:rsid w:val="00530B89"/>
    <w:rsid w:val="00532001"/>
    <w:rsid w:val="00532D77"/>
    <w:rsid w:val="005342E4"/>
    <w:rsid w:val="00535163"/>
    <w:rsid w:val="005361EC"/>
    <w:rsid w:val="00536467"/>
    <w:rsid w:val="00536774"/>
    <w:rsid w:val="0053683D"/>
    <w:rsid w:val="00537348"/>
    <w:rsid w:val="0053769E"/>
    <w:rsid w:val="005377C1"/>
    <w:rsid w:val="00537AC8"/>
    <w:rsid w:val="00537B2C"/>
    <w:rsid w:val="00540892"/>
    <w:rsid w:val="00540CA5"/>
    <w:rsid w:val="00542ED3"/>
    <w:rsid w:val="0054399B"/>
    <w:rsid w:val="0054430F"/>
    <w:rsid w:val="00544E32"/>
    <w:rsid w:val="00545850"/>
    <w:rsid w:val="005460F8"/>
    <w:rsid w:val="005468AE"/>
    <w:rsid w:val="00546945"/>
    <w:rsid w:val="0054700C"/>
    <w:rsid w:val="005479E8"/>
    <w:rsid w:val="00547A95"/>
    <w:rsid w:val="00550A24"/>
    <w:rsid w:val="00550DF8"/>
    <w:rsid w:val="00553213"/>
    <w:rsid w:val="00553F4D"/>
    <w:rsid w:val="00554D81"/>
    <w:rsid w:val="00556BA5"/>
    <w:rsid w:val="00556FFE"/>
    <w:rsid w:val="00560184"/>
    <w:rsid w:val="00560D73"/>
    <w:rsid w:val="00561213"/>
    <w:rsid w:val="00561EB7"/>
    <w:rsid w:val="00562948"/>
    <w:rsid w:val="00563C62"/>
    <w:rsid w:val="00564CFD"/>
    <w:rsid w:val="00566978"/>
    <w:rsid w:val="005707A7"/>
    <w:rsid w:val="00571F3B"/>
    <w:rsid w:val="00572B53"/>
    <w:rsid w:val="005753CF"/>
    <w:rsid w:val="00580592"/>
    <w:rsid w:val="005806FE"/>
    <w:rsid w:val="00580CE1"/>
    <w:rsid w:val="0058262D"/>
    <w:rsid w:val="00584068"/>
    <w:rsid w:val="005845B4"/>
    <w:rsid w:val="00584712"/>
    <w:rsid w:val="00584857"/>
    <w:rsid w:val="00584B3B"/>
    <w:rsid w:val="00584FC0"/>
    <w:rsid w:val="00585383"/>
    <w:rsid w:val="00585504"/>
    <w:rsid w:val="00585EF7"/>
    <w:rsid w:val="005871E5"/>
    <w:rsid w:val="00590814"/>
    <w:rsid w:val="00590846"/>
    <w:rsid w:val="00590F69"/>
    <w:rsid w:val="0059219E"/>
    <w:rsid w:val="0059224F"/>
    <w:rsid w:val="00593155"/>
    <w:rsid w:val="00593FA5"/>
    <w:rsid w:val="005949EE"/>
    <w:rsid w:val="0059620A"/>
    <w:rsid w:val="00596B8F"/>
    <w:rsid w:val="00596BC1"/>
    <w:rsid w:val="0059711A"/>
    <w:rsid w:val="005979E1"/>
    <w:rsid w:val="005A05B8"/>
    <w:rsid w:val="005A1520"/>
    <w:rsid w:val="005A2566"/>
    <w:rsid w:val="005A4B68"/>
    <w:rsid w:val="005A5C39"/>
    <w:rsid w:val="005A5EB1"/>
    <w:rsid w:val="005A6EB2"/>
    <w:rsid w:val="005A721D"/>
    <w:rsid w:val="005B20A3"/>
    <w:rsid w:val="005B2C53"/>
    <w:rsid w:val="005B3EC4"/>
    <w:rsid w:val="005B4C7A"/>
    <w:rsid w:val="005B4D51"/>
    <w:rsid w:val="005B528D"/>
    <w:rsid w:val="005B5A37"/>
    <w:rsid w:val="005B5C34"/>
    <w:rsid w:val="005B6713"/>
    <w:rsid w:val="005B671D"/>
    <w:rsid w:val="005B70EB"/>
    <w:rsid w:val="005B7862"/>
    <w:rsid w:val="005B7F61"/>
    <w:rsid w:val="005C0179"/>
    <w:rsid w:val="005C123E"/>
    <w:rsid w:val="005C17B8"/>
    <w:rsid w:val="005C20B1"/>
    <w:rsid w:val="005C4450"/>
    <w:rsid w:val="005C4BEF"/>
    <w:rsid w:val="005C4EA2"/>
    <w:rsid w:val="005C585B"/>
    <w:rsid w:val="005C6B14"/>
    <w:rsid w:val="005C6B9D"/>
    <w:rsid w:val="005C7DEA"/>
    <w:rsid w:val="005D0121"/>
    <w:rsid w:val="005D0227"/>
    <w:rsid w:val="005D5532"/>
    <w:rsid w:val="005D577E"/>
    <w:rsid w:val="005D5EF8"/>
    <w:rsid w:val="005D6FD4"/>
    <w:rsid w:val="005D76C3"/>
    <w:rsid w:val="005E0C8B"/>
    <w:rsid w:val="005E0EB0"/>
    <w:rsid w:val="005E3794"/>
    <w:rsid w:val="005E3CCF"/>
    <w:rsid w:val="005E3D01"/>
    <w:rsid w:val="005E5A70"/>
    <w:rsid w:val="005E5D33"/>
    <w:rsid w:val="005E6BB0"/>
    <w:rsid w:val="005E6EBC"/>
    <w:rsid w:val="005E7C12"/>
    <w:rsid w:val="005F058D"/>
    <w:rsid w:val="005F0904"/>
    <w:rsid w:val="005F0FA7"/>
    <w:rsid w:val="005F120B"/>
    <w:rsid w:val="005F1472"/>
    <w:rsid w:val="005F2646"/>
    <w:rsid w:val="005F28BC"/>
    <w:rsid w:val="005F6067"/>
    <w:rsid w:val="005F65A6"/>
    <w:rsid w:val="005F771F"/>
    <w:rsid w:val="0060133F"/>
    <w:rsid w:val="00601AC0"/>
    <w:rsid w:val="006031F0"/>
    <w:rsid w:val="006042D9"/>
    <w:rsid w:val="006044B4"/>
    <w:rsid w:val="00604916"/>
    <w:rsid w:val="00605118"/>
    <w:rsid w:val="00605403"/>
    <w:rsid w:val="00605816"/>
    <w:rsid w:val="00605BA1"/>
    <w:rsid w:val="0060683E"/>
    <w:rsid w:val="00607B22"/>
    <w:rsid w:val="006101D9"/>
    <w:rsid w:val="006110BD"/>
    <w:rsid w:val="00611EA2"/>
    <w:rsid w:val="0061213B"/>
    <w:rsid w:val="0061233C"/>
    <w:rsid w:val="006127C4"/>
    <w:rsid w:val="006131F8"/>
    <w:rsid w:val="00616A16"/>
    <w:rsid w:val="00616B89"/>
    <w:rsid w:val="00616E4F"/>
    <w:rsid w:val="00620845"/>
    <w:rsid w:val="006224AD"/>
    <w:rsid w:val="00622DFC"/>
    <w:rsid w:val="006235DD"/>
    <w:rsid w:val="006243C6"/>
    <w:rsid w:val="00624AC0"/>
    <w:rsid w:val="0062532A"/>
    <w:rsid w:val="00625A99"/>
    <w:rsid w:val="00625BAE"/>
    <w:rsid w:val="0062720B"/>
    <w:rsid w:val="00627A4B"/>
    <w:rsid w:val="006301D2"/>
    <w:rsid w:val="006315D8"/>
    <w:rsid w:val="00634812"/>
    <w:rsid w:val="00634BBB"/>
    <w:rsid w:val="00637DA9"/>
    <w:rsid w:val="006404C1"/>
    <w:rsid w:val="006404F5"/>
    <w:rsid w:val="00640E60"/>
    <w:rsid w:val="006410C4"/>
    <w:rsid w:val="006418F7"/>
    <w:rsid w:val="0064193C"/>
    <w:rsid w:val="006424B1"/>
    <w:rsid w:val="00642EBD"/>
    <w:rsid w:val="00643884"/>
    <w:rsid w:val="00643F23"/>
    <w:rsid w:val="0064403E"/>
    <w:rsid w:val="00646CE0"/>
    <w:rsid w:val="0064735F"/>
    <w:rsid w:val="00647CA2"/>
    <w:rsid w:val="006510F7"/>
    <w:rsid w:val="00652335"/>
    <w:rsid w:val="00653DDC"/>
    <w:rsid w:val="00654C55"/>
    <w:rsid w:val="00655780"/>
    <w:rsid w:val="00656954"/>
    <w:rsid w:val="00656A51"/>
    <w:rsid w:val="00657134"/>
    <w:rsid w:val="00660815"/>
    <w:rsid w:val="00660B36"/>
    <w:rsid w:val="00661061"/>
    <w:rsid w:val="006627B4"/>
    <w:rsid w:val="00663256"/>
    <w:rsid w:val="00663490"/>
    <w:rsid w:val="00664026"/>
    <w:rsid w:val="00664FFB"/>
    <w:rsid w:val="006652BA"/>
    <w:rsid w:val="00665456"/>
    <w:rsid w:val="00667E76"/>
    <w:rsid w:val="00671522"/>
    <w:rsid w:val="00671948"/>
    <w:rsid w:val="00671FB3"/>
    <w:rsid w:val="006724B1"/>
    <w:rsid w:val="006732B7"/>
    <w:rsid w:val="006736FC"/>
    <w:rsid w:val="0067551D"/>
    <w:rsid w:val="006755EA"/>
    <w:rsid w:val="00675BEC"/>
    <w:rsid w:val="00677583"/>
    <w:rsid w:val="006802DC"/>
    <w:rsid w:val="00680C76"/>
    <w:rsid w:val="00684B67"/>
    <w:rsid w:val="00686189"/>
    <w:rsid w:val="006862CA"/>
    <w:rsid w:val="006910B1"/>
    <w:rsid w:val="00691BF3"/>
    <w:rsid w:val="00692060"/>
    <w:rsid w:val="00693AA7"/>
    <w:rsid w:val="00694342"/>
    <w:rsid w:val="00695BC0"/>
    <w:rsid w:val="00696228"/>
    <w:rsid w:val="006962A0"/>
    <w:rsid w:val="00696ABD"/>
    <w:rsid w:val="00696D00"/>
    <w:rsid w:val="006978F1"/>
    <w:rsid w:val="006A0120"/>
    <w:rsid w:val="006A07BE"/>
    <w:rsid w:val="006A0FA7"/>
    <w:rsid w:val="006A160E"/>
    <w:rsid w:val="006A197F"/>
    <w:rsid w:val="006A1A89"/>
    <w:rsid w:val="006A2306"/>
    <w:rsid w:val="006A24FC"/>
    <w:rsid w:val="006A3BF9"/>
    <w:rsid w:val="006A437D"/>
    <w:rsid w:val="006A5928"/>
    <w:rsid w:val="006A6D3D"/>
    <w:rsid w:val="006A7DE0"/>
    <w:rsid w:val="006B0A78"/>
    <w:rsid w:val="006B0B78"/>
    <w:rsid w:val="006B1FE0"/>
    <w:rsid w:val="006B33F9"/>
    <w:rsid w:val="006B5597"/>
    <w:rsid w:val="006B6263"/>
    <w:rsid w:val="006C1645"/>
    <w:rsid w:val="006C1C09"/>
    <w:rsid w:val="006C4A70"/>
    <w:rsid w:val="006C4B25"/>
    <w:rsid w:val="006C569D"/>
    <w:rsid w:val="006C647C"/>
    <w:rsid w:val="006C7247"/>
    <w:rsid w:val="006D0DAC"/>
    <w:rsid w:val="006D0E86"/>
    <w:rsid w:val="006D181A"/>
    <w:rsid w:val="006D1A3C"/>
    <w:rsid w:val="006D2F63"/>
    <w:rsid w:val="006D3163"/>
    <w:rsid w:val="006E02E3"/>
    <w:rsid w:val="006E098D"/>
    <w:rsid w:val="006E10BC"/>
    <w:rsid w:val="006E1A5C"/>
    <w:rsid w:val="006E2AD4"/>
    <w:rsid w:val="006E36E8"/>
    <w:rsid w:val="006E4410"/>
    <w:rsid w:val="006E467E"/>
    <w:rsid w:val="006E4ED0"/>
    <w:rsid w:val="006E6921"/>
    <w:rsid w:val="006E778D"/>
    <w:rsid w:val="006E78D0"/>
    <w:rsid w:val="006E7D50"/>
    <w:rsid w:val="006F04C5"/>
    <w:rsid w:val="006F05A0"/>
    <w:rsid w:val="006F07ED"/>
    <w:rsid w:val="006F2180"/>
    <w:rsid w:val="006F41DE"/>
    <w:rsid w:val="006F4821"/>
    <w:rsid w:val="006F5262"/>
    <w:rsid w:val="006F5B53"/>
    <w:rsid w:val="006F5BB8"/>
    <w:rsid w:val="006F6795"/>
    <w:rsid w:val="006F7D4F"/>
    <w:rsid w:val="0070247B"/>
    <w:rsid w:val="0070256D"/>
    <w:rsid w:val="00703110"/>
    <w:rsid w:val="007039EC"/>
    <w:rsid w:val="00704EE5"/>
    <w:rsid w:val="00705353"/>
    <w:rsid w:val="00705A3F"/>
    <w:rsid w:val="00706499"/>
    <w:rsid w:val="00707AC6"/>
    <w:rsid w:val="00712603"/>
    <w:rsid w:val="00713438"/>
    <w:rsid w:val="007135C8"/>
    <w:rsid w:val="0071407D"/>
    <w:rsid w:val="00714287"/>
    <w:rsid w:val="00714395"/>
    <w:rsid w:val="00714D91"/>
    <w:rsid w:val="007155E9"/>
    <w:rsid w:val="00715A81"/>
    <w:rsid w:val="00715D28"/>
    <w:rsid w:val="0071745D"/>
    <w:rsid w:val="00720207"/>
    <w:rsid w:val="00721078"/>
    <w:rsid w:val="00721762"/>
    <w:rsid w:val="00721E41"/>
    <w:rsid w:val="00724130"/>
    <w:rsid w:val="00724150"/>
    <w:rsid w:val="0072456C"/>
    <w:rsid w:val="00724C38"/>
    <w:rsid w:val="00724DC7"/>
    <w:rsid w:val="0072582F"/>
    <w:rsid w:val="00726EE7"/>
    <w:rsid w:val="00727E6A"/>
    <w:rsid w:val="0073389D"/>
    <w:rsid w:val="00733971"/>
    <w:rsid w:val="00733E0A"/>
    <w:rsid w:val="007345D9"/>
    <w:rsid w:val="00734FB1"/>
    <w:rsid w:val="0073617D"/>
    <w:rsid w:val="00737971"/>
    <w:rsid w:val="00740DC9"/>
    <w:rsid w:val="007419ED"/>
    <w:rsid w:val="00741D9F"/>
    <w:rsid w:val="00742832"/>
    <w:rsid w:val="00742B2A"/>
    <w:rsid w:val="00742FA0"/>
    <w:rsid w:val="00743BDF"/>
    <w:rsid w:val="00743EEB"/>
    <w:rsid w:val="007452EA"/>
    <w:rsid w:val="00746DFE"/>
    <w:rsid w:val="007504ED"/>
    <w:rsid w:val="00750D55"/>
    <w:rsid w:val="007515C5"/>
    <w:rsid w:val="0075191E"/>
    <w:rsid w:val="00753D82"/>
    <w:rsid w:val="00755203"/>
    <w:rsid w:val="007554B9"/>
    <w:rsid w:val="007556E4"/>
    <w:rsid w:val="00755835"/>
    <w:rsid w:val="007558FF"/>
    <w:rsid w:val="00756D77"/>
    <w:rsid w:val="00757C33"/>
    <w:rsid w:val="00760353"/>
    <w:rsid w:val="00760CB3"/>
    <w:rsid w:val="00761C78"/>
    <w:rsid w:val="00764401"/>
    <w:rsid w:val="007646E1"/>
    <w:rsid w:val="00764859"/>
    <w:rsid w:val="0076553F"/>
    <w:rsid w:val="007655AA"/>
    <w:rsid w:val="00765A87"/>
    <w:rsid w:val="007665BA"/>
    <w:rsid w:val="00767EDB"/>
    <w:rsid w:val="00770890"/>
    <w:rsid w:val="0077156E"/>
    <w:rsid w:val="00771E85"/>
    <w:rsid w:val="007729A0"/>
    <w:rsid w:val="00772AC0"/>
    <w:rsid w:val="0077426A"/>
    <w:rsid w:val="0077440A"/>
    <w:rsid w:val="00775F72"/>
    <w:rsid w:val="00777A8C"/>
    <w:rsid w:val="0078083D"/>
    <w:rsid w:val="00780A97"/>
    <w:rsid w:val="00780C90"/>
    <w:rsid w:val="00780D6B"/>
    <w:rsid w:val="0078163B"/>
    <w:rsid w:val="0078277B"/>
    <w:rsid w:val="007839F2"/>
    <w:rsid w:val="00786D80"/>
    <w:rsid w:val="00787371"/>
    <w:rsid w:val="00790205"/>
    <w:rsid w:val="0079047B"/>
    <w:rsid w:val="00791EE8"/>
    <w:rsid w:val="00792130"/>
    <w:rsid w:val="00793F13"/>
    <w:rsid w:val="007946F4"/>
    <w:rsid w:val="00795BBC"/>
    <w:rsid w:val="00795BBF"/>
    <w:rsid w:val="007963B7"/>
    <w:rsid w:val="00796494"/>
    <w:rsid w:val="00797199"/>
    <w:rsid w:val="0079722F"/>
    <w:rsid w:val="0079741A"/>
    <w:rsid w:val="00797F79"/>
    <w:rsid w:val="007A113E"/>
    <w:rsid w:val="007A3711"/>
    <w:rsid w:val="007A37F1"/>
    <w:rsid w:val="007A3AE8"/>
    <w:rsid w:val="007A5843"/>
    <w:rsid w:val="007A61F5"/>
    <w:rsid w:val="007A6E03"/>
    <w:rsid w:val="007A6F68"/>
    <w:rsid w:val="007A7ABC"/>
    <w:rsid w:val="007B1612"/>
    <w:rsid w:val="007B1D1F"/>
    <w:rsid w:val="007B3807"/>
    <w:rsid w:val="007B4096"/>
    <w:rsid w:val="007B4F85"/>
    <w:rsid w:val="007B5D9C"/>
    <w:rsid w:val="007B73C9"/>
    <w:rsid w:val="007B7422"/>
    <w:rsid w:val="007C1391"/>
    <w:rsid w:val="007C293A"/>
    <w:rsid w:val="007C3EC1"/>
    <w:rsid w:val="007C4064"/>
    <w:rsid w:val="007C475A"/>
    <w:rsid w:val="007C4922"/>
    <w:rsid w:val="007C59EC"/>
    <w:rsid w:val="007C5D2F"/>
    <w:rsid w:val="007C6C55"/>
    <w:rsid w:val="007D0132"/>
    <w:rsid w:val="007D0930"/>
    <w:rsid w:val="007D2D8F"/>
    <w:rsid w:val="007D3BE3"/>
    <w:rsid w:val="007D4CDE"/>
    <w:rsid w:val="007D4DDA"/>
    <w:rsid w:val="007D692B"/>
    <w:rsid w:val="007E1DC1"/>
    <w:rsid w:val="007E3096"/>
    <w:rsid w:val="007E33C8"/>
    <w:rsid w:val="007E3F16"/>
    <w:rsid w:val="007E6E4D"/>
    <w:rsid w:val="007E7C47"/>
    <w:rsid w:val="007F17E3"/>
    <w:rsid w:val="007F1FFE"/>
    <w:rsid w:val="007F21DE"/>
    <w:rsid w:val="007F3AF0"/>
    <w:rsid w:val="007F4287"/>
    <w:rsid w:val="007F4543"/>
    <w:rsid w:val="007F473F"/>
    <w:rsid w:val="008014B1"/>
    <w:rsid w:val="0080159C"/>
    <w:rsid w:val="008033AE"/>
    <w:rsid w:val="008033E9"/>
    <w:rsid w:val="008037B9"/>
    <w:rsid w:val="0080509E"/>
    <w:rsid w:val="00805762"/>
    <w:rsid w:val="00806605"/>
    <w:rsid w:val="00806996"/>
    <w:rsid w:val="00806DCA"/>
    <w:rsid w:val="008073F7"/>
    <w:rsid w:val="0081022C"/>
    <w:rsid w:val="0081028D"/>
    <w:rsid w:val="00810969"/>
    <w:rsid w:val="008117DC"/>
    <w:rsid w:val="008123FA"/>
    <w:rsid w:val="0081255A"/>
    <w:rsid w:val="00814574"/>
    <w:rsid w:val="00814C72"/>
    <w:rsid w:val="00815280"/>
    <w:rsid w:val="008159D3"/>
    <w:rsid w:val="00815A6D"/>
    <w:rsid w:val="00816933"/>
    <w:rsid w:val="00816A88"/>
    <w:rsid w:val="00816D87"/>
    <w:rsid w:val="00817437"/>
    <w:rsid w:val="00820119"/>
    <w:rsid w:val="00820D51"/>
    <w:rsid w:val="008218D5"/>
    <w:rsid w:val="00822B53"/>
    <w:rsid w:val="00822D79"/>
    <w:rsid w:val="008232C8"/>
    <w:rsid w:val="00823804"/>
    <w:rsid w:val="00823B24"/>
    <w:rsid w:val="00824D75"/>
    <w:rsid w:val="0082508C"/>
    <w:rsid w:val="00826071"/>
    <w:rsid w:val="00830FA5"/>
    <w:rsid w:val="00831468"/>
    <w:rsid w:val="008328E8"/>
    <w:rsid w:val="008332D6"/>
    <w:rsid w:val="00833B39"/>
    <w:rsid w:val="00833E9C"/>
    <w:rsid w:val="00834740"/>
    <w:rsid w:val="008364BD"/>
    <w:rsid w:val="00836CDD"/>
    <w:rsid w:val="008379D9"/>
    <w:rsid w:val="00840877"/>
    <w:rsid w:val="0084126E"/>
    <w:rsid w:val="00841C01"/>
    <w:rsid w:val="008442D8"/>
    <w:rsid w:val="008443AE"/>
    <w:rsid w:val="008448DC"/>
    <w:rsid w:val="00845075"/>
    <w:rsid w:val="008466E0"/>
    <w:rsid w:val="00846C68"/>
    <w:rsid w:val="00847BEB"/>
    <w:rsid w:val="00851998"/>
    <w:rsid w:val="00853027"/>
    <w:rsid w:val="00853AA6"/>
    <w:rsid w:val="00853E6E"/>
    <w:rsid w:val="00854607"/>
    <w:rsid w:val="00854F81"/>
    <w:rsid w:val="008566CA"/>
    <w:rsid w:val="00857364"/>
    <w:rsid w:val="00861190"/>
    <w:rsid w:val="00861858"/>
    <w:rsid w:val="00861C42"/>
    <w:rsid w:val="008624EE"/>
    <w:rsid w:val="00863792"/>
    <w:rsid w:val="00863AB6"/>
    <w:rsid w:val="008640C8"/>
    <w:rsid w:val="008648AB"/>
    <w:rsid w:val="00864ACA"/>
    <w:rsid w:val="008652A7"/>
    <w:rsid w:val="008653C8"/>
    <w:rsid w:val="00865BDD"/>
    <w:rsid w:val="008665EC"/>
    <w:rsid w:val="0086671E"/>
    <w:rsid w:val="00870F23"/>
    <w:rsid w:val="008724D1"/>
    <w:rsid w:val="00872B77"/>
    <w:rsid w:val="00873E81"/>
    <w:rsid w:val="00874D04"/>
    <w:rsid w:val="0087560D"/>
    <w:rsid w:val="008760D5"/>
    <w:rsid w:val="008766A3"/>
    <w:rsid w:val="008766D8"/>
    <w:rsid w:val="00877A62"/>
    <w:rsid w:val="00877EC6"/>
    <w:rsid w:val="008804D1"/>
    <w:rsid w:val="00881541"/>
    <w:rsid w:val="00881752"/>
    <w:rsid w:val="00881FEC"/>
    <w:rsid w:val="00882A80"/>
    <w:rsid w:val="00882E8E"/>
    <w:rsid w:val="00884742"/>
    <w:rsid w:val="00885671"/>
    <w:rsid w:val="008858A9"/>
    <w:rsid w:val="0088591A"/>
    <w:rsid w:val="00887803"/>
    <w:rsid w:val="008901A1"/>
    <w:rsid w:val="00890402"/>
    <w:rsid w:val="00890764"/>
    <w:rsid w:val="00891AFC"/>
    <w:rsid w:val="0089290B"/>
    <w:rsid w:val="00892B41"/>
    <w:rsid w:val="00893AA0"/>
    <w:rsid w:val="00893BFC"/>
    <w:rsid w:val="00893EC8"/>
    <w:rsid w:val="00894EDB"/>
    <w:rsid w:val="0089540F"/>
    <w:rsid w:val="008954CC"/>
    <w:rsid w:val="00897A63"/>
    <w:rsid w:val="008A0C5F"/>
    <w:rsid w:val="008A1FC0"/>
    <w:rsid w:val="008A2C92"/>
    <w:rsid w:val="008A3703"/>
    <w:rsid w:val="008A5AF4"/>
    <w:rsid w:val="008A6170"/>
    <w:rsid w:val="008A6A6E"/>
    <w:rsid w:val="008A7371"/>
    <w:rsid w:val="008A7BE9"/>
    <w:rsid w:val="008B0291"/>
    <w:rsid w:val="008B1AC0"/>
    <w:rsid w:val="008B2848"/>
    <w:rsid w:val="008B3D9E"/>
    <w:rsid w:val="008B3DC0"/>
    <w:rsid w:val="008B622E"/>
    <w:rsid w:val="008B6512"/>
    <w:rsid w:val="008B65D5"/>
    <w:rsid w:val="008B6EF3"/>
    <w:rsid w:val="008B7A5A"/>
    <w:rsid w:val="008B7CE3"/>
    <w:rsid w:val="008C0ED5"/>
    <w:rsid w:val="008C10C3"/>
    <w:rsid w:val="008C2A68"/>
    <w:rsid w:val="008C3FB2"/>
    <w:rsid w:val="008C4059"/>
    <w:rsid w:val="008C4694"/>
    <w:rsid w:val="008C63BF"/>
    <w:rsid w:val="008C72E2"/>
    <w:rsid w:val="008C73F7"/>
    <w:rsid w:val="008D04C3"/>
    <w:rsid w:val="008D1A8E"/>
    <w:rsid w:val="008D1D5D"/>
    <w:rsid w:val="008D2F0A"/>
    <w:rsid w:val="008D3ED7"/>
    <w:rsid w:val="008D419C"/>
    <w:rsid w:val="008D450F"/>
    <w:rsid w:val="008D60FF"/>
    <w:rsid w:val="008D6CDE"/>
    <w:rsid w:val="008D6CFE"/>
    <w:rsid w:val="008D722A"/>
    <w:rsid w:val="008D73EE"/>
    <w:rsid w:val="008D790E"/>
    <w:rsid w:val="008E2489"/>
    <w:rsid w:val="008E2597"/>
    <w:rsid w:val="008E26B7"/>
    <w:rsid w:val="008E27B4"/>
    <w:rsid w:val="008E2903"/>
    <w:rsid w:val="008E2920"/>
    <w:rsid w:val="008E2B93"/>
    <w:rsid w:val="008E318B"/>
    <w:rsid w:val="008E41DB"/>
    <w:rsid w:val="008F3024"/>
    <w:rsid w:val="008F59F4"/>
    <w:rsid w:val="008F654D"/>
    <w:rsid w:val="008F6B4A"/>
    <w:rsid w:val="008F6D7F"/>
    <w:rsid w:val="008F7734"/>
    <w:rsid w:val="00900A07"/>
    <w:rsid w:val="00900BE4"/>
    <w:rsid w:val="00901BD0"/>
    <w:rsid w:val="009029F4"/>
    <w:rsid w:val="00902E25"/>
    <w:rsid w:val="0090322C"/>
    <w:rsid w:val="00903FE3"/>
    <w:rsid w:val="00905991"/>
    <w:rsid w:val="00910381"/>
    <w:rsid w:val="009106BE"/>
    <w:rsid w:val="009118B1"/>
    <w:rsid w:val="00912465"/>
    <w:rsid w:val="00912B07"/>
    <w:rsid w:val="00912E21"/>
    <w:rsid w:val="00912FE6"/>
    <w:rsid w:val="0091545C"/>
    <w:rsid w:val="00915F09"/>
    <w:rsid w:val="009162AD"/>
    <w:rsid w:val="009176F5"/>
    <w:rsid w:val="00917A9D"/>
    <w:rsid w:val="00920076"/>
    <w:rsid w:val="00920D54"/>
    <w:rsid w:val="0092175C"/>
    <w:rsid w:val="00921BD1"/>
    <w:rsid w:val="00922306"/>
    <w:rsid w:val="00922968"/>
    <w:rsid w:val="009249E5"/>
    <w:rsid w:val="0092591A"/>
    <w:rsid w:val="00930DF3"/>
    <w:rsid w:val="00931281"/>
    <w:rsid w:val="00931922"/>
    <w:rsid w:val="00931AD6"/>
    <w:rsid w:val="00933159"/>
    <w:rsid w:val="00933202"/>
    <w:rsid w:val="00933B90"/>
    <w:rsid w:val="009343AF"/>
    <w:rsid w:val="009351A3"/>
    <w:rsid w:val="00935432"/>
    <w:rsid w:val="009363D5"/>
    <w:rsid w:val="00941137"/>
    <w:rsid w:val="009418D3"/>
    <w:rsid w:val="009418ED"/>
    <w:rsid w:val="009424D9"/>
    <w:rsid w:val="00942CC9"/>
    <w:rsid w:val="00944C0E"/>
    <w:rsid w:val="00944D11"/>
    <w:rsid w:val="00945909"/>
    <w:rsid w:val="00946751"/>
    <w:rsid w:val="00951350"/>
    <w:rsid w:val="009527D2"/>
    <w:rsid w:val="0095325F"/>
    <w:rsid w:val="00953C80"/>
    <w:rsid w:val="0095439B"/>
    <w:rsid w:val="00954667"/>
    <w:rsid w:val="0095669B"/>
    <w:rsid w:val="009572D6"/>
    <w:rsid w:val="0095751E"/>
    <w:rsid w:val="00960363"/>
    <w:rsid w:val="00965F99"/>
    <w:rsid w:val="00966B3D"/>
    <w:rsid w:val="00972102"/>
    <w:rsid w:val="00972C94"/>
    <w:rsid w:val="009731EF"/>
    <w:rsid w:val="009737C3"/>
    <w:rsid w:val="0097457F"/>
    <w:rsid w:val="00974CFE"/>
    <w:rsid w:val="0097509D"/>
    <w:rsid w:val="00975A90"/>
    <w:rsid w:val="009760C2"/>
    <w:rsid w:val="0097696C"/>
    <w:rsid w:val="00977ECA"/>
    <w:rsid w:val="00981651"/>
    <w:rsid w:val="00983BFB"/>
    <w:rsid w:val="009842FA"/>
    <w:rsid w:val="0098684D"/>
    <w:rsid w:val="009912A1"/>
    <w:rsid w:val="009914B1"/>
    <w:rsid w:val="00992486"/>
    <w:rsid w:val="0099281D"/>
    <w:rsid w:val="00993A97"/>
    <w:rsid w:val="00994E93"/>
    <w:rsid w:val="00994F1B"/>
    <w:rsid w:val="00994FE2"/>
    <w:rsid w:val="0099517A"/>
    <w:rsid w:val="00995594"/>
    <w:rsid w:val="00996005"/>
    <w:rsid w:val="00996401"/>
    <w:rsid w:val="00996D52"/>
    <w:rsid w:val="00997173"/>
    <w:rsid w:val="009975F7"/>
    <w:rsid w:val="00997FED"/>
    <w:rsid w:val="009A2C4E"/>
    <w:rsid w:val="009A3607"/>
    <w:rsid w:val="009A3790"/>
    <w:rsid w:val="009A3849"/>
    <w:rsid w:val="009A3CDA"/>
    <w:rsid w:val="009A3EF0"/>
    <w:rsid w:val="009A3FD6"/>
    <w:rsid w:val="009A46A9"/>
    <w:rsid w:val="009A4A79"/>
    <w:rsid w:val="009A62F0"/>
    <w:rsid w:val="009A655B"/>
    <w:rsid w:val="009A6D4C"/>
    <w:rsid w:val="009A6E85"/>
    <w:rsid w:val="009A724A"/>
    <w:rsid w:val="009A7BD3"/>
    <w:rsid w:val="009A7FD6"/>
    <w:rsid w:val="009B1430"/>
    <w:rsid w:val="009B199B"/>
    <w:rsid w:val="009B1A68"/>
    <w:rsid w:val="009B201F"/>
    <w:rsid w:val="009B2C4C"/>
    <w:rsid w:val="009B3D17"/>
    <w:rsid w:val="009B4025"/>
    <w:rsid w:val="009B4210"/>
    <w:rsid w:val="009B5E59"/>
    <w:rsid w:val="009B6403"/>
    <w:rsid w:val="009B6464"/>
    <w:rsid w:val="009B6E00"/>
    <w:rsid w:val="009B6E91"/>
    <w:rsid w:val="009B6EB7"/>
    <w:rsid w:val="009C006D"/>
    <w:rsid w:val="009C16CC"/>
    <w:rsid w:val="009C17AA"/>
    <w:rsid w:val="009C1A2B"/>
    <w:rsid w:val="009C20A7"/>
    <w:rsid w:val="009C3A56"/>
    <w:rsid w:val="009C4FC8"/>
    <w:rsid w:val="009C4FD9"/>
    <w:rsid w:val="009C5DD8"/>
    <w:rsid w:val="009C6036"/>
    <w:rsid w:val="009C7210"/>
    <w:rsid w:val="009D024C"/>
    <w:rsid w:val="009D0C6A"/>
    <w:rsid w:val="009D1A38"/>
    <w:rsid w:val="009D242F"/>
    <w:rsid w:val="009D419C"/>
    <w:rsid w:val="009D4DA0"/>
    <w:rsid w:val="009D5CEF"/>
    <w:rsid w:val="009D606A"/>
    <w:rsid w:val="009E0A8D"/>
    <w:rsid w:val="009E1028"/>
    <w:rsid w:val="009E1798"/>
    <w:rsid w:val="009E1B85"/>
    <w:rsid w:val="009E537A"/>
    <w:rsid w:val="009E5DBD"/>
    <w:rsid w:val="009E62BF"/>
    <w:rsid w:val="009E77B6"/>
    <w:rsid w:val="009F0012"/>
    <w:rsid w:val="009F11C3"/>
    <w:rsid w:val="009F12B2"/>
    <w:rsid w:val="009F21AD"/>
    <w:rsid w:val="009F2421"/>
    <w:rsid w:val="009F2F23"/>
    <w:rsid w:val="009F3119"/>
    <w:rsid w:val="009F36A3"/>
    <w:rsid w:val="009F4CC6"/>
    <w:rsid w:val="009F4E49"/>
    <w:rsid w:val="009F4EC3"/>
    <w:rsid w:val="009F5C4B"/>
    <w:rsid w:val="009F7DDF"/>
    <w:rsid w:val="00A01980"/>
    <w:rsid w:val="00A02387"/>
    <w:rsid w:val="00A02FD0"/>
    <w:rsid w:val="00A0385C"/>
    <w:rsid w:val="00A03CFE"/>
    <w:rsid w:val="00A05737"/>
    <w:rsid w:val="00A05DA7"/>
    <w:rsid w:val="00A05FD8"/>
    <w:rsid w:val="00A0616C"/>
    <w:rsid w:val="00A07F1C"/>
    <w:rsid w:val="00A07FFA"/>
    <w:rsid w:val="00A109D4"/>
    <w:rsid w:val="00A10F18"/>
    <w:rsid w:val="00A110CB"/>
    <w:rsid w:val="00A133BB"/>
    <w:rsid w:val="00A13693"/>
    <w:rsid w:val="00A13A5C"/>
    <w:rsid w:val="00A141B7"/>
    <w:rsid w:val="00A14810"/>
    <w:rsid w:val="00A1582D"/>
    <w:rsid w:val="00A15CD7"/>
    <w:rsid w:val="00A16249"/>
    <w:rsid w:val="00A170CF"/>
    <w:rsid w:val="00A17CCA"/>
    <w:rsid w:val="00A20A30"/>
    <w:rsid w:val="00A21A48"/>
    <w:rsid w:val="00A227CC"/>
    <w:rsid w:val="00A22AF0"/>
    <w:rsid w:val="00A23CDD"/>
    <w:rsid w:val="00A2405C"/>
    <w:rsid w:val="00A24378"/>
    <w:rsid w:val="00A25B8E"/>
    <w:rsid w:val="00A27548"/>
    <w:rsid w:val="00A279F8"/>
    <w:rsid w:val="00A27D6D"/>
    <w:rsid w:val="00A305FA"/>
    <w:rsid w:val="00A30A7A"/>
    <w:rsid w:val="00A30C4E"/>
    <w:rsid w:val="00A31540"/>
    <w:rsid w:val="00A316D0"/>
    <w:rsid w:val="00A31813"/>
    <w:rsid w:val="00A319BF"/>
    <w:rsid w:val="00A31AEC"/>
    <w:rsid w:val="00A327A7"/>
    <w:rsid w:val="00A332B6"/>
    <w:rsid w:val="00A33748"/>
    <w:rsid w:val="00A33894"/>
    <w:rsid w:val="00A34769"/>
    <w:rsid w:val="00A3487C"/>
    <w:rsid w:val="00A34DD1"/>
    <w:rsid w:val="00A35604"/>
    <w:rsid w:val="00A35A02"/>
    <w:rsid w:val="00A35BFB"/>
    <w:rsid w:val="00A37457"/>
    <w:rsid w:val="00A3754F"/>
    <w:rsid w:val="00A402B7"/>
    <w:rsid w:val="00A405D4"/>
    <w:rsid w:val="00A40AF2"/>
    <w:rsid w:val="00A41417"/>
    <w:rsid w:val="00A41436"/>
    <w:rsid w:val="00A429E7"/>
    <w:rsid w:val="00A43297"/>
    <w:rsid w:val="00A44116"/>
    <w:rsid w:val="00A44702"/>
    <w:rsid w:val="00A453F2"/>
    <w:rsid w:val="00A45FE7"/>
    <w:rsid w:val="00A465BE"/>
    <w:rsid w:val="00A50B69"/>
    <w:rsid w:val="00A52FA6"/>
    <w:rsid w:val="00A53BC0"/>
    <w:rsid w:val="00A547AD"/>
    <w:rsid w:val="00A548C0"/>
    <w:rsid w:val="00A565A8"/>
    <w:rsid w:val="00A57418"/>
    <w:rsid w:val="00A57696"/>
    <w:rsid w:val="00A57B4A"/>
    <w:rsid w:val="00A613F5"/>
    <w:rsid w:val="00A61591"/>
    <w:rsid w:val="00A6194F"/>
    <w:rsid w:val="00A6220F"/>
    <w:rsid w:val="00A622DE"/>
    <w:rsid w:val="00A62932"/>
    <w:rsid w:val="00A6478B"/>
    <w:rsid w:val="00A65F1D"/>
    <w:rsid w:val="00A660A0"/>
    <w:rsid w:val="00A66390"/>
    <w:rsid w:val="00A66590"/>
    <w:rsid w:val="00A67573"/>
    <w:rsid w:val="00A67579"/>
    <w:rsid w:val="00A7053A"/>
    <w:rsid w:val="00A7149A"/>
    <w:rsid w:val="00A71952"/>
    <w:rsid w:val="00A71D2F"/>
    <w:rsid w:val="00A71D88"/>
    <w:rsid w:val="00A72BC8"/>
    <w:rsid w:val="00A747B4"/>
    <w:rsid w:val="00A75070"/>
    <w:rsid w:val="00A75834"/>
    <w:rsid w:val="00A75900"/>
    <w:rsid w:val="00A763A5"/>
    <w:rsid w:val="00A76540"/>
    <w:rsid w:val="00A77147"/>
    <w:rsid w:val="00A772A5"/>
    <w:rsid w:val="00A77E73"/>
    <w:rsid w:val="00A81910"/>
    <w:rsid w:val="00A8608D"/>
    <w:rsid w:val="00A8697A"/>
    <w:rsid w:val="00A907D3"/>
    <w:rsid w:val="00A9347E"/>
    <w:rsid w:val="00A935C3"/>
    <w:rsid w:val="00A952E8"/>
    <w:rsid w:val="00A962D8"/>
    <w:rsid w:val="00A970C9"/>
    <w:rsid w:val="00AA1795"/>
    <w:rsid w:val="00AA2171"/>
    <w:rsid w:val="00AA5781"/>
    <w:rsid w:val="00AA68F8"/>
    <w:rsid w:val="00AA7113"/>
    <w:rsid w:val="00AA73A2"/>
    <w:rsid w:val="00AA73CB"/>
    <w:rsid w:val="00AA7A83"/>
    <w:rsid w:val="00AA7FC6"/>
    <w:rsid w:val="00AB0875"/>
    <w:rsid w:val="00AB4076"/>
    <w:rsid w:val="00AB441A"/>
    <w:rsid w:val="00AB461E"/>
    <w:rsid w:val="00AB4F38"/>
    <w:rsid w:val="00AB58E6"/>
    <w:rsid w:val="00AB7726"/>
    <w:rsid w:val="00AB7C15"/>
    <w:rsid w:val="00AC2287"/>
    <w:rsid w:val="00AC27F6"/>
    <w:rsid w:val="00AC28C5"/>
    <w:rsid w:val="00AC2A1D"/>
    <w:rsid w:val="00AC3ABC"/>
    <w:rsid w:val="00AC3AC8"/>
    <w:rsid w:val="00AC5DBA"/>
    <w:rsid w:val="00AC605B"/>
    <w:rsid w:val="00AC7936"/>
    <w:rsid w:val="00AC79EA"/>
    <w:rsid w:val="00AD124F"/>
    <w:rsid w:val="00AD138F"/>
    <w:rsid w:val="00AD4189"/>
    <w:rsid w:val="00AD55E0"/>
    <w:rsid w:val="00AE02F8"/>
    <w:rsid w:val="00AE260F"/>
    <w:rsid w:val="00AE278D"/>
    <w:rsid w:val="00AE2998"/>
    <w:rsid w:val="00AE35E4"/>
    <w:rsid w:val="00AE4D9B"/>
    <w:rsid w:val="00AE6583"/>
    <w:rsid w:val="00AF0102"/>
    <w:rsid w:val="00AF27A9"/>
    <w:rsid w:val="00AF2EB5"/>
    <w:rsid w:val="00AF397B"/>
    <w:rsid w:val="00AF41BC"/>
    <w:rsid w:val="00AF5219"/>
    <w:rsid w:val="00AF6108"/>
    <w:rsid w:val="00AF622E"/>
    <w:rsid w:val="00AF6C9D"/>
    <w:rsid w:val="00AF72F3"/>
    <w:rsid w:val="00B01A58"/>
    <w:rsid w:val="00B01A90"/>
    <w:rsid w:val="00B01EC0"/>
    <w:rsid w:val="00B022EB"/>
    <w:rsid w:val="00B02A5A"/>
    <w:rsid w:val="00B02FDD"/>
    <w:rsid w:val="00B04C42"/>
    <w:rsid w:val="00B05215"/>
    <w:rsid w:val="00B064DA"/>
    <w:rsid w:val="00B076E2"/>
    <w:rsid w:val="00B07B00"/>
    <w:rsid w:val="00B101DD"/>
    <w:rsid w:val="00B124F7"/>
    <w:rsid w:val="00B12AD7"/>
    <w:rsid w:val="00B12D23"/>
    <w:rsid w:val="00B14068"/>
    <w:rsid w:val="00B141EC"/>
    <w:rsid w:val="00B14AB4"/>
    <w:rsid w:val="00B15673"/>
    <w:rsid w:val="00B15FA9"/>
    <w:rsid w:val="00B15FD7"/>
    <w:rsid w:val="00B20841"/>
    <w:rsid w:val="00B2169C"/>
    <w:rsid w:val="00B220B9"/>
    <w:rsid w:val="00B22401"/>
    <w:rsid w:val="00B227AC"/>
    <w:rsid w:val="00B2284E"/>
    <w:rsid w:val="00B22974"/>
    <w:rsid w:val="00B22FB9"/>
    <w:rsid w:val="00B230F6"/>
    <w:rsid w:val="00B25FD0"/>
    <w:rsid w:val="00B26814"/>
    <w:rsid w:val="00B31969"/>
    <w:rsid w:val="00B33674"/>
    <w:rsid w:val="00B351AB"/>
    <w:rsid w:val="00B36A42"/>
    <w:rsid w:val="00B36EE3"/>
    <w:rsid w:val="00B37EBC"/>
    <w:rsid w:val="00B4004F"/>
    <w:rsid w:val="00B42458"/>
    <w:rsid w:val="00B42653"/>
    <w:rsid w:val="00B42813"/>
    <w:rsid w:val="00B439EC"/>
    <w:rsid w:val="00B43D8E"/>
    <w:rsid w:val="00B444E1"/>
    <w:rsid w:val="00B446FA"/>
    <w:rsid w:val="00B44CCB"/>
    <w:rsid w:val="00B45257"/>
    <w:rsid w:val="00B453C6"/>
    <w:rsid w:val="00B454BE"/>
    <w:rsid w:val="00B455BA"/>
    <w:rsid w:val="00B4621B"/>
    <w:rsid w:val="00B47C6F"/>
    <w:rsid w:val="00B512F4"/>
    <w:rsid w:val="00B51E0E"/>
    <w:rsid w:val="00B52821"/>
    <w:rsid w:val="00B52AC7"/>
    <w:rsid w:val="00B54F10"/>
    <w:rsid w:val="00B55298"/>
    <w:rsid w:val="00B558DD"/>
    <w:rsid w:val="00B564E6"/>
    <w:rsid w:val="00B565E5"/>
    <w:rsid w:val="00B56D51"/>
    <w:rsid w:val="00B57AFE"/>
    <w:rsid w:val="00B57BCF"/>
    <w:rsid w:val="00B57DC9"/>
    <w:rsid w:val="00B57F23"/>
    <w:rsid w:val="00B60517"/>
    <w:rsid w:val="00B60A6E"/>
    <w:rsid w:val="00B626A3"/>
    <w:rsid w:val="00B62AF8"/>
    <w:rsid w:val="00B63D73"/>
    <w:rsid w:val="00B63F8A"/>
    <w:rsid w:val="00B66298"/>
    <w:rsid w:val="00B66698"/>
    <w:rsid w:val="00B70540"/>
    <w:rsid w:val="00B713BD"/>
    <w:rsid w:val="00B72725"/>
    <w:rsid w:val="00B73125"/>
    <w:rsid w:val="00B734FB"/>
    <w:rsid w:val="00B757D3"/>
    <w:rsid w:val="00B7707A"/>
    <w:rsid w:val="00B77552"/>
    <w:rsid w:val="00B77E74"/>
    <w:rsid w:val="00B80341"/>
    <w:rsid w:val="00B80A2D"/>
    <w:rsid w:val="00B81229"/>
    <w:rsid w:val="00B81462"/>
    <w:rsid w:val="00B81498"/>
    <w:rsid w:val="00B81BA7"/>
    <w:rsid w:val="00B85BF7"/>
    <w:rsid w:val="00B86096"/>
    <w:rsid w:val="00B86813"/>
    <w:rsid w:val="00B8752F"/>
    <w:rsid w:val="00B90524"/>
    <w:rsid w:val="00B91972"/>
    <w:rsid w:val="00B91AF9"/>
    <w:rsid w:val="00B9200C"/>
    <w:rsid w:val="00B93AB1"/>
    <w:rsid w:val="00B9541F"/>
    <w:rsid w:val="00B95BF1"/>
    <w:rsid w:val="00B96903"/>
    <w:rsid w:val="00B96D23"/>
    <w:rsid w:val="00B97C3E"/>
    <w:rsid w:val="00B97E26"/>
    <w:rsid w:val="00BA014A"/>
    <w:rsid w:val="00BA09F1"/>
    <w:rsid w:val="00BA2547"/>
    <w:rsid w:val="00BA2923"/>
    <w:rsid w:val="00BA2DE0"/>
    <w:rsid w:val="00BA38E3"/>
    <w:rsid w:val="00BA3D0C"/>
    <w:rsid w:val="00BA552F"/>
    <w:rsid w:val="00BA5A8A"/>
    <w:rsid w:val="00BA643B"/>
    <w:rsid w:val="00BA75E3"/>
    <w:rsid w:val="00BB0114"/>
    <w:rsid w:val="00BB085A"/>
    <w:rsid w:val="00BB0A40"/>
    <w:rsid w:val="00BB0C4A"/>
    <w:rsid w:val="00BB10A1"/>
    <w:rsid w:val="00BB161B"/>
    <w:rsid w:val="00BB1B68"/>
    <w:rsid w:val="00BB2407"/>
    <w:rsid w:val="00BB3538"/>
    <w:rsid w:val="00BB3A4C"/>
    <w:rsid w:val="00BB503D"/>
    <w:rsid w:val="00BB58F7"/>
    <w:rsid w:val="00BB5F44"/>
    <w:rsid w:val="00BB6055"/>
    <w:rsid w:val="00BB74CF"/>
    <w:rsid w:val="00BB7B9B"/>
    <w:rsid w:val="00BB7D3F"/>
    <w:rsid w:val="00BC0FB1"/>
    <w:rsid w:val="00BC1CF7"/>
    <w:rsid w:val="00BC30F5"/>
    <w:rsid w:val="00BC31B3"/>
    <w:rsid w:val="00BC3D77"/>
    <w:rsid w:val="00BC45E9"/>
    <w:rsid w:val="00BC560B"/>
    <w:rsid w:val="00BC72DB"/>
    <w:rsid w:val="00BD10ED"/>
    <w:rsid w:val="00BD17E2"/>
    <w:rsid w:val="00BD1F89"/>
    <w:rsid w:val="00BD2B07"/>
    <w:rsid w:val="00BD33BE"/>
    <w:rsid w:val="00BD3C96"/>
    <w:rsid w:val="00BD5985"/>
    <w:rsid w:val="00BD642F"/>
    <w:rsid w:val="00BE1BE3"/>
    <w:rsid w:val="00BE2DDA"/>
    <w:rsid w:val="00BE4002"/>
    <w:rsid w:val="00BE4284"/>
    <w:rsid w:val="00BE5262"/>
    <w:rsid w:val="00BE5980"/>
    <w:rsid w:val="00BE5D22"/>
    <w:rsid w:val="00BE62E3"/>
    <w:rsid w:val="00BE760D"/>
    <w:rsid w:val="00BE7A8C"/>
    <w:rsid w:val="00BF1723"/>
    <w:rsid w:val="00BF4540"/>
    <w:rsid w:val="00BF48D4"/>
    <w:rsid w:val="00BF69DC"/>
    <w:rsid w:val="00BF7910"/>
    <w:rsid w:val="00C005FD"/>
    <w:rsid w:val="00C00C07"/>
    <w:rsid w:val="00C01B74"/>
    <w:rsid w:val="00C01D7C"/>
    <w:rsid w:val="00C04732"/>
    <w:rsid w:val="00C0486C"/>
    <w:rsid w:val="00C05DC3"/>
    <w:rsid w:val="00C109DF"/>
    <w:rsid w:val="00C112B4"/>
    <w:rsid w:val="00C136B1"/>
    <w:rsid w:val="00C140E5"/>
    <w:rsid w:val="00C14847"/>
    <w:rsid w:val="00C1651C"/>
    <w:rsid w:val="00C20911"/>
    <w:rsid w:val="00C22EFE"/>
    <w:rsid w:val="00C23761"/>
    <w:rsid w:val="00C23851"/>
    <w:rsid w:val="00C2454B"/>
    <w:rsid w:val="00C246B3"/>
    <w:rsid w:val="00C2473D"/>
    <w:rsid w:val="00C24ACA"/>
    <w:rsid w:val="00C25308"/>
    <w:rsid w:val="00C265B9"/>
    <w:rsid w:val="00C3190F"/>
    <w:rsid w:val="00C31C37"/>
    <w:rsid w:val="00C31E27"/>
    <w:rsid w:val="00C320FE"/>
    <w:rsid w:val="00C327E2"/>
    <w:rsid w:val="00C3427C"/>
    <w:rsid w:val="00C36936"/>
    <w:rsid w:val="00C36E9A"/>
    <w:rsid w:val="00C40A29"/>
    <w:rsid w:val="00C412E9"/>
    <w:rsid w:val="00C41A62"/>
    <w:rsid w:val="00C41BDC"/>
    <w:rsid w:val="00C41F85"/>
    <w:rsid w:val="00C42027"/>
    <w:rsid w:val="00C423B7"/>
    <w:rsid w:val="00C44697"/>
    <w:rsid w:val="00C45AB1"/>
    <w:rsid w:val="00C460D6"/>
    <w:rsid w:val="00C46892"/>
    <w:rsid w:val="00C4707A"/>
    <w:rsid w:val="00C472B2"/>
    <w:rsid w:val="00C5200D"/>
    <w:rsid w:val="00C5376F"/>
    <w:rsid w:val="00C5460A"/>
    <w:rsid w:val="00C54FAE"/>
    <w:rsid w:val="00C557B2"/>
    <w:rsid w:val="00C55D71"/>
    <w:rsid w:val="00C56C63"/>
    <w:rsid w:val="00C576E7"/>
    <w:rsid w:val="00C57CBC"/>
    <w:rsid w:val="00C61F4D"/>
    <w:rsid w:val="00C62255"/>
    <w:rsid w:val="00C62CCE"/>
    <w:rsid w:val="00C6358B"/>
    <w:rsid w:val="00C647A9"/>
    <w:rsid w:val="00C651F0"/>
    <w:rsid w:val="00C67372"/>
    <w:rsid w:val="00C7058F"/>
    <w:rsid w:val="00C71985"/>
    <w:rsid w:val="00C7208E"/>
    <w:rsid w:val="00C725DE"/>
    <w:rsid w:val="00C74634"/>
    <w:rsid w:val="00C7733A"/>
    <w:rsid w:val="00C776F8"/>
    <w:rsid w:val="00C805BB"/>
    <w:rsid w:val="00C8097A"/>
    <w:rsid w:val="00C80D4C"/>
    <w:rsid w:val="00C81CCA"/>
    <w:rsid w:val="00C82AE7"/>
    <w:rsid w:val="00C82C8D"/>
    <w:rsid w:val="00C82D5C"/>
    <w:rsid w:val="00C82F6F"/>
    <w:rsid w:val="00C83FC5"/>
    <w:rsid w:val="00C84767"/>
    <w:rsid w:val="00C858FA"/>
    <w:rsid w:val="00C85EED"/>
    <w:rsid w:val="00C8658F"/>
    <w:rsid w:val="00C86F6F"/>
    <w:rsid w:val="00C931A0"/>
    <w:rsid w:val="00C945F6"/>
    <w:rsid w:val="00C94CAD"/>
    <w:rsid w:val="00C95244"/>
    <w:rsid w:val="00C95827"/>
    <w:rsid w:val="00C95EE3"/>
    <w:rsid w:val="00C96949"/>
    <w:rsid w:val="00C9778D"/>
    <w:rsid w:val="00CA1A19"/>
    <w:rsid w:val="00CA2183"/>
    <w:rsid w:val="00CA38F7"/>
    <w:rsid w:val="00CA467C"/>
    <w:rsid w:val="00CA4BC1"/>
    <w:rsid w:val="00CA5113"/>
    <w:rsid w:val="00CA5F69"/>
    <w:rsid w:val="00CA64F4"/>
    <w:rsid w:val="00CA6A76"/>
    <w:rsid w:val="00CA6C8E"/>
    <w:rsid w:val="00CA74E0"/>
    <w:rsid w:val="00CA7843"/>
    <w:rsid w:val="00CA7DC0"/>
    <w:rsid w:val="00CB03AB"/>
    <w:rsid w:val="00CB03DF"/>
    <w:rsid w:val="00CB0717"/>
    <w:rsid w:val="00CB0D49"/>
    <w:rsid w:val="00CB16F3"/>
    <w:rsid w:val="00CB1C21"/>
    <w:rsid w:val="00CB1C45"/>
    <w:rsid w:val="00CB2437"/>
    <w:rsid w:val="00CB255E"/>
    <w:rsid w:val="00CB6C47"/>
    <w:rsid w:val="00CB7011"/>
    <w:rsid w:val="00CB7013"/>
    <w:rsid w:val="00CB730E"/>
    <w:rsid w:val="00CC01DF"/>
    <w:rsid w:val="00CC05A8"/>
    <w:rsid w:val="00CC1AF7"/>
    <w:rsid w:val="00CC2526"/>
    <w:rsid w:val="00CC2A9A"/>
    <w:rsid w:val="00CC2AEA"/>
    <w:rsid w:val="00CC2B5B"/>
    <w:rsid w:val="00CC3E1C"/>
    <w:rsid w:val="00CC3F1F"/>
    <w:rsid w:val="00CC5C95"/>
    <w:rsid w:val="00CC6B20"/>
    <w:rsid w:val="00CC738E"/>
    <w:rsid w:val="00CC7A4B"/>
    <w:rsid w:val="00CC7DED"/>
    <w:rsid w:val="00CD047B"/>
    <w:rsid w:val="00CD0F6C"/>
    <w:rsid w:val="00CD196F"/>
    <w:rsid w:val="00CD2D93"/>
    <w:rsid w:val="00CD3982"/>
    <w:rsid w:val="00CD3E0D"/>
    <w:rsid w:val="00CD4276"/>
    <w:rsid w:val="00CD4FD3"/>
    <w:rsid w:val="00CD686E"/>
    <w:rsid w:val="00CD6DC8"/>
    <w:rsid w:val="00CD719D"/>
    <w:rsid w:val="00CE03FB"/>
    <w:rsid w:val="00CE0407"/>
    <w:rsid w:val="00CE1254"/>
    <w:rsid w:val="00CE1826"/>
    <w:rsid w:val="00CE1A7B"/>
    <w:rsid w:val="00CE2EFF"/>
    <w:rsid w:val="00CE3E82"/>
    <w:rsid w:val="00CE4774"/>
    <w:rsid w:val="00CE6AAF"/>
    <w:rsid w:val="00CF172E"/>
    <w:rsid w:val="00CF1DEA"/>
    <w:rsid w:val="00CF2A67"/>
    <w:rsid w:val="00CF2DC9"/>
    <w:rsid w:val="00CF3D32"/>
    <w:rsid w:val="00CF40B9"/>
    <w:rsid w:val="00CF4240"/>
    <w:rsid w:val="00CF4B13"/>
    <w:rsid w:val="00CF4CFB"/>
    <w:rsid w:val="00CF4D39"/>
    <w:rsid w:val="00CF55B8"/>
    <w:rsid w:val="00CF6425"/>
    <w:rsid w:val="00CF6529"/>
    <w:rsid w:val="00CF6A12"/>
    <w:rsid w:val="00D008EF"/>
    <w:rsid w:val="00D00DE0"/>
    <w:rsid w:val="00D01670"/>
    <w:rsid w:val="00D027EC"/>
    <w:rsid w:val="00D0439A"/>
    <w:rsid w:val="00D04A9D"/>
    <w:rsid w:val="00D052E7"/>
    <w:rsid w:val="00D055C0"/>
    <w:rsid w:val="00D05677"/>
    <w:rsid w:val="00D065D8"/>
    <w:rsid w:val="00D06DE4"/>
    <w:rsid w:val="00D07191"/>
    <w:rsid w:val="00D07C01"/>
    <w:rsid w:val="00D07FDE"/>
    <w:rsid w:val="00D106D2"/>
    <w:rsid w:val="00D1149E"/>
    <w:rsid w:val="00D11ADC"/>
    <w:rsid w:val="00D11BC0"/>
    <w:rsid w:val="00D13516"/>
    <w:rsid w:val="00D14288"/>
    <w:rsid w:val="00D14818"/>
    <w:rsid w:val="00D15DEA"/>
    <w:rsid w:val="00D15E07"/>
    <w:rsid w:val="00D16161"/>
    <w:rsid w:val="00D16DF2"/>
    <w:rsid w:val="00D211EA"/>
    <w:rsid w:val="00D218BD"/>
    <w:rsid w:val="00D219D8"/>
    <w:rsid w:val="00D21F3B"/>
    <w:rsid w:val="00D2274D"/>
    <w:rsid w:val="00D22EC9"/>
    <w:rsid w:val="00D23DBE"/>
    <w:rsid w:val="00D24A97"/>
    <w:rsid w:val="00D24BBF"/>
    <w:rsid w:val="00D25278"/>
    <w:rsid w:val="00D255DB"/>
    <w:rsid w:val="00D26D88"/>
    <w:rsid w:val="00D2749B"/>
    <w:rsid w:val="00D278FE"/>
    <w:rsid w:val="00D30117"/>
    <w:rsid w:val="00D30489"/>
    <w:rsid w:val="00D30AE0"/>
    <w:rsid w:val="00D30D48"/>
    <w:rsid w:val="00D30DB6"/>
    <w:rsid w:val="00D30FA1"/>
    <w:rsid w:val="00D32145"/>
    <w:rsid w:val="00D3274F"/>
    <w:rsid w:val="00D328E3"/>
    <w:rsid w:val="00D338FB"/>
    <w:rsid w:val="00D3748D"/>
    <w:rsid w:val="00D405A1"/>
    <w:rsid w:val="00D40B83"/>
    <w:rsid w:val="00D40DEA"/>
    <w:rsid w:val="00D41262"/>
    <w:rsid w:val="00D417ED"/>
    <w:rsid w:val="00D42F2F"/>
    <w:rsid w:val="00D43722"/>
    <w:rsid w:val="00D47468"/>
    <w:rsid w:val="00D474BB"/>
    <w:rsid w:val="00D50C73"/>
    <w:rsid w:val="00D52DEB"/>
    <w:rsid w:val="00D5314A"/>
    <w:rsid w:val="00D53DEC"/>
    <w:rsid w:val="00D540FC"/>
    <w:rsid w:val="00D54226"/>
    <w:rsid w:val="00D5738E"/>
    <w:rsid w:val="00D5763A"/>
    <w:rsid w:val="00D62EAF"/>
    <w:rsid w:val="00D63376"/>
    <w:rsid w:val="00D634BF"/>
    <w:rsid w:val="00D63755"/>
    <w:rsid w:val="00D63EA3"/>
    <w:rsid w:val="00D6410E"/>
    <w:rsid w:val="00D64419"/>
    <w:rsid w:val="00D66ED1"/>
    <w:rsid w:val="00D67B30"/>
    <w:rsid w:val="00D70CAC"/>
    <w:rsid w:val="00D70EA7"/>
    <w:rsid w:val="00D71284"/>
    <w:rsid w:val="00D72D1A"/>
    <w:rsid w:val="00D7367D"/>
    <w:rsid w:val="00D73E75"/>
    <w:rsid w:val="00D744F7"/>
    <w:rsid w:val="00D74A66"/>
    <w:rsid w:val="00D77256"/>
    <w:rsid w:val="00D80D97"/>
    <w:rsid w:val="00D8259D"/>
    <w:rsid w:val="00D832A6"/>
    <w:rsid w:val="00D832EF"/>
    <w:rsid w:val="00D845F7"/>
    <w:rsid w:val="00D84B66"/>
    <w:rsid w:val="00D84C06"/>
    <w:rsid w:val="00D8514C"/>
    <w:rsid w:val="00D85571"/>
    <w:rsid w:val="00D908A0"/>
    <w:rsid w:val="00D923E3"/>
    <w:rsid w:val="00D93177"/>
    <w:rsid w:val="00D93A79"/>
    <w:rsid w:val="00D9441F"/>
    <w:rsid w:val="00D9468C"/>
    <w:rsid w:val="00D94C98"/>
    <w:rsid w:val="00D94F41"/>
    <w:rsid w:val="00DA1AB6"/>
    <w:rsid w:val="00DA1F48"/>
    <w:rsid w:val="00DA2108"/>
    <w:rsid w:val="00DA23CF"/>
    <w:rsid w:val="00DA29BE"/>
    <w:rsid w:val="00DA3AA7"/>
    <w:rsid w:val="00DA3F0E"/>
    <w:rsid w:val="00DA4974"/>
    <w:rsid w:val="00DA5417"/>
    <w:rsid w:val="00DA65F2"/>
    <w:rsid w:val="00DA6E90"/>
    <w:rsid w:val="00DA73FB"/>
    <w:rsid w:val="00DB08DA"/>
    <w:rsid w:val="00DB1475"/>
    <w:rsid w:val="00DB1A57"/>
    <w:rsid w:val="00DB2D0A"/>
    <w:rsid w:val="00DB3440"/>
    <w:rsid w:val="00DB48DA"/>
    <w:rsid w:val="00DB4FAD"/>
    <w:rsid w:val="00DB5E73"/>
    <w:rsid w:val="00DB5F49"/>
    <w:rsid w:val="00DB6262"/>
    <w:rsid w:val="00DB6976"/>
    <w:rsid w:val="00DB75B3"/>
    <w:rsid w:val="00DB79B0"/>
    <w:rsid w:val="00DC0DB0"/>
    <w:rsid w:val="00DC0EF2"/>
    <w:rsid w:val="00DC1B3E"/>
    <w:rsid w:val="00DC1DB8"/>
    <w:rsid w:val="00DC29F7"/>
    <w:rsid w:val="00DC2D37"/>
    <w:rsid w:val="00DC4637"/>
    <w:rsid w:val="00DC56A2"/>
    <w:rsid w:val="00DC5B1B"/>
    <w:rsid w:val="00DC61BB"/>
    <w:rsid w:val="00DC7D96"/>
    <w:rsid w:val="00DD097C"/>
    <w:rsid w:val="00DD0E20"/>
    <w:rsid w:val="00DD1D72"/>
    <w:rsid w:val="00DD1DAE"/>
    <w:rsid w:val="00DD3424"/>
    <w:rsid w:val="00DD39F9"/>
    <w:rsid w:val="00DD4184"/>
    <w:rsid w:val="00DD4603"/>
    <w:rsid w:val="00DD4C9D"/>
    <w:rsid w:val="00DD4E96"/>
    <w:rsid w:val="00DD5770"/>
    <w:rsid w:val="00DD749B"/>
    <w:rsid w:val="00DD7A56"/>
    <w:rsid w:val="00DE191E"/>
    <w:rsid w:val="00DE2A3E"/>
    <w:rsid w:val="00DE303A"/>
    <w:rsid w:val="00DE3F98"/>
    <w:rsid w:val="00DE463A"/>
    <w:rsid w:val="00DE611E"/>
    <w:rsid w:val="00DE63F1"/>
    <w:rsid w:val="00DE6FA5"/>
    <w:rsid w:val="00DE7064"/>
    <w:rsid w:val="00DF07B3"/>
    <w:rsid w:val="00DF0B6B"/>
    <w:rsid w:val="00DF0C6F"/>
    <w:rsid w:val="00DF2933"/>
    <w:rsid w:val="00DF41BE"/>
    <w:rsid w:val="00DF574B"/>
    <w:rsid w:val="00DF6202"/>
    <w:rsid w:val="00E001AB"/>
    <w:rsid w:val="00E0041F"/>
    <w:rsid w:val="00E01126"/>
    <w:rsid w:val="00E0178C"/>
    <w:rsid w:val="00E01E94"/>
    <w:rsid w:val="00E034FE"/>
    <w:rsid w:val="00E038DE"/>
    <w:rsid w:val="00E03D61"/>
    <w:rsid w:val="00E04CBA"/>
    <w:rsid w:val="00E05734"/>
    <w:rsid w:val="00E0691B"/>
    <w:rsid w:val="00E07285"/>
    <w:rsid w:val="00E13936"/>
    <w:rsid w:val="00E13CA9"/>
    <w:rsid w:val="00E13DA7"/>
    <w:rsid w:val="00E14233"/>
    <w:rsid w:val="00E1652C"/>
    <w:rsid w:val="00E16836"/>
    <w:rsid w:val="00E17D06"/>
    <w:rsid w:val="00E2054A"/>
    <w:rsid w:val="00E21EEC"/>
    <w:rsid w:val="00E22443"/>
    <w:rsid w:val="00E23185"/>
    <w:rsid w:val="00E23EAA"/>
    <w:rsid w:val="00E24909"/>
    <w:rsid w:val="00E26385"/>
    <w:rsid w:val="00E32543"/>
    <w:rsid w:val="00E32880"/>
    <w:rsid w:val="00E32BD1"/>
    <w:rsid w:val="00E332B1"/>
    <w:rsid w:val="00E3415C"/>
    <w:rsid w:val="00E34B3A"/>
    <w:rsid w:val="00E35822"/>
    <w:rsid w:val="00E36E54"/>
    <w:rsid w:val="00E37E64"/>
    <w:rsid w:val="00E40398"/>
    <w:rsid w:val="00E415F5"/>
    <w:rsid w:val="00E41BBC"/>
    <w:rsid w:val="00E42AA0"/>
    <w:rsid w:val="00E4302C"/>
    <w:rsid w:val="00E44D17"/>
    <w:rsid w:val="00E452A0"/>
    <w:rsid w:val="00E4554D"/>
    <w:rsid w:val="00E50313"/>
    <w:rsid w:val="00E50532"/>
    <w:rsid w:val="00E52E84"/>
    <w:rsid w:val="00E53F70"/>
    <w:rsid w:val="00E541BF"/>
    <w:rsid w:val="00E55419"/>
    <w:rsid w:val="00E558DA"/>
    <w:rsid w:val="00E55A23"/>
    <w:rsid w:val="00E575B5"/>
    <w:rsid w:val="00E578CE"/>
    <w:rsid w:val="00E57A39"/>
    <w:rsid w:val="00E57D28"/>
    <w:rsid w:val="00E603CA"/>
    <w:rsid w:val="00E60BEA"/>
    <w:rsid w:val="00E61E41"/>
    <w:rsid w:val="00E61F17"/>
    <w:rsid w:val="00E62707"/>
    <w:rsid w:val="00E63457"/>
    <w:rsid w:val="00E63915"/>
    <w:rsid w:val="00E63F7D"/>
    <w:rsid w:val="00E651FB"/>
    <w:rsid w:val="00E67C8C"/>
    <w:rsid w:val="00E71525"/>
    <w:rsid w:val="00E721F9"/>
    <w:rsid w:val="00E72EE1"/>
    <w:rsid w:val="00E73769"/>
    <w:rsid w:val="00E73A41"/>
    <w:rsid w:val="00E74C0B"/>
    <w:rsid w:val="00E7558E"/>
    <w:rsid w:val="00E75E4E"/>
    <w:rsid w:val="00E81006"/>
    <w:rsid w:val="00E81A77"/>
    <w:rsid w:val="00E82A2D"/>
    <w:rsid w:val="00E83871"/>
    <w:rsid w:val="00E84521"/>
    <w:rsid w:val="00E84F32"/>
    <w:rsid w:val="00E87C23"/>
    <w:rsid w:val="00E9082A"/>
    <w:rsid w:val="00E922D8"/>
    <w:rsid w:val="00E92512"/>
    <w:rsid w:val="00E92B00"/>
    <w:rsid w:val="00E94166"/>
    <w:rsid w:val="00E95061"/>
    <w:rsid w:val="00E96363"/>
    <w:rsid w:val="00E97F7A"/>
    <w:rsid w:val="00EA0B7B"/>
    <w:rsid w:val="00EA0CE1"/>
    <w:rsid w:val="00EA0D80"/>
    <w:rsid w:val="00EA0ECD"/>
    <w:rsid w:val="00EA13D5"/>
    <w:rsid w:val="00EA1A93"/>
    <w:rsid w:val="00EA251C"/>
    <w:rsid w:val="00EA3F06"/>
    <w:rsid w:val="00EA4152"/>
    <w:rsid w:val="00EA5639"/>
    <w:rsid w:val="00EA5D9B"/>
    <w:rsid w:val="00EA5F95"/>
    <w:rsid w:val="00EA6646"/>
    <w:rsid w:val="00EA66D0"/>
    <w:rsid w:val="00EA7BC2"/>
    <w:rsid w:val="00EB0A66"/>
    <w:rsid w:val="00EB2166"/>
    <w:rsid w:val="00EB37CC"/>
    <w:rsid w:val="00EB435B"/>
    <w:rsid w:val="00EB5005"/>
    <w:rsid w:val="00EB5816"/>
    <w:rsid w:val="00EB5F8C"/>
    <w:rsid w:val="00EB611A"/>
    <w:rsid w:val="00EB6EFF"/>
    <w:rsid w:val="00EB716A"/>
    <w:rsid w:val="00EC1AE4"/>
    <w:rsid w:val="00EC22A4"/>
    <w:rsid w:val="00EC3D43"/>
    <w:rsid w:val="00EC3EF7"/>
    <w:rsid w:val="00EC414F"/>
    <w:rsid w:val="00EC6281"/>
    <w:rsid w:val="00EC7964"/>
    <w:rsid w:val="00EC7D74"/>
    <w:rsid w:val="00EC7DEB"/>
    <w:rsid w:val="00ED000C"/>
    <w:rsid w:val="00ED0624"/>
    <w:rsid w:val="00ED0A9B"/>
    <w:rsid w:val="00ED2410"/>
    <w:rsid w:val="00ED24D1"/>
    <w:rsid w:val="00ED31CC"/>
    <w:rsid w:val="00ED3883"/>
    <w:rsid w:val="00ED3CEC"/>
    <w:rsid w:val="00ED4097"/>
    <w:rsid w:val="00ED412C"/>
    <w:rsid w:val="00ED483A"/>
    <w:rsid w:val="00ED499D"/>
    <w:rsid w:val="00ED519E"/>
    <w:rsid w:val="00ED5222"/>
    <w:rsid w:val="00ED546C"/>
    <w:rsid w:val="00ED5F5B"/>
    <w:rsid w:val="00EE1C23"/>
    <w:rsid w:val="00EE3AF4"/>
    <w:rsid w:val="00EE48DC"/>
    <w:rsid w:val="00EE5424"/>
    <w:rsid w:val="00EE5CBB"/>
    <w:rsid w:val="00EE5D2F"/>
    <w:rsid w:val="00EE640C"/>
    <w:rsid w:val="00EE6CED"/>
    <w:rsid w:val="00EF187F"/>
    <w:rsid w:val="00EF2033"/>
    <w:rsid w:val="00EF2B82"/>
    <w:rsid w:val="00EF52A8"/>
    <w:rsid w:val="00EF5FED"/>
    <w:rsid w:val="00EF7F4C"/>
    <w:rsid w:val="00F03FA3"/>
    <w:rsid w:val="00F0460B"/>
    <w:rsid w:val="00F04708"/>
    <w:rsid w:val="00F04FFF"/>
    <w:rsid w:val="00F0591F"/>
    <w:rsid w:val="00F0614F"/>
    <w:rsid w:val="00F07418"/>
    <w:rsid w:val="00F10FFF"/>
    <w:rsid w:val="00F11C3E"/>
    <w:rsid w:val="00F12FBE"/>
    <w:rsid w:val="00F13E4C"/>
    <w:rsid w:val="00F142C4"/>
    <w:rsid w:val="00F14845"/>
    <w:rsid w:val="00F1578F"/>
    <w:rsid w:val="00F16AAB"/>
    <w:rsid w:val="00F16DEA"/>
    <w:rsid w:val="00F17004"/>
    <w:rsid w:val="00F17799"/>
    <w:rsid w:val="00F20D67"/>
    <w:rsid w:val="00F22093"/>
    <w:rsid w:val="00F2273F"/>
    <w:rsid w:val="00F22F5F"/>
    <w:rsid w:val="00F25424"/>
    <w:rsid w:val="00F25F63"/>
    <w:rsid w:val="00F26D7B"/>
    <w:rsid w:val="00F30085"/>
    <w:rsid w:val="00F312C8"/>
    <w:rsid w:val="00F3352A"/>
    <w:rsid w:val="00F33F85"/>
    <w:rsid w:val="00F34C00"/>
    <w:rsid w:val="00F35185"/>
    <w:rsid w:val="00F359B5"/>
    <w:rsid w:val="00F35DCB"/>
    <w:rsid w:val="00F3640A"/>
    <w:rsid w:val="00F37117"/>
    <w:rsid w:val="00F37D35"/>
    <w:rsid w:val="00F402B6"/>
    <w:rsid w:val="00F40953"/>
    <w:rsid w:val="00F41AB4"/>
    <w:rsid w:val="00F41D66"/>
    <w:rsid w:val="00F429B6"/>
    <w:rsid w:val="00F44684"/>
    <w:rsid w:val="00F4519D"/>
    <w:rsid w:val="00F462E5"/>
    <w:rsid w:val="00F47951"/>
    <w:rsid w:val="00F47AC6"/>
    <w:rsid w:val="00F50181"/>
    <w:rsid w:val="00F511EB"/>
    <w:rsid w:val="00F51FC4"/>
    <w:rsid w:val="00F53BA1"/>
    <w:rsid w:val="00F53C07"/>
    <w:rsid w:val="00F54850"/>
    <w:rsid w:val="00F55B76"/>
    <w:rsid w:val="00F55CA7"/>
    <w:rsid w:val="00F57F36"/>
    <w:rsid w:val="00F60D6B"/>
    <w:rsid w:val="00F61FC7"/>
    <w:rsid w:val="00F651FE"/>
    <w:rsid w:val="00F65DB9"/>
    <w:rsid w:val="00F66205"/>
    <w:rsid w:val="00F66402"/>
    <w:rsid w:val="00F67A0A"/>
    <w:rsid w:val="00F67B2A"/>
    <w:rsid w:val="00F70241"/>
    <w:rsid w:val="00F706FA"/>
    <w:rsid w:val="00F70C0C"/>
    <w:rsid w:val="00F70DA5"/>
    <w:rsid w:val="00F735A2"/>
    <w:rsid w:val="00F74C9F"/>
    <w:rsid w:val="00F75396"/>
    <w:rsid w:val="00F80747"/>
    <w:rsid w:val="00F80BE1"/>
    <w:rsid w:val="00F80F3E"/>
    <w:rsid w:val="00F8222F"/>
    <w:rsid w:val="00F82944"/>
    <w:rsid w:val="00F82D80"/>
    <w:rsid w:val="00F83A1F"/>
    <w:rsid w:val="00F877D7"/>
    <w:rsid w:val="00F903AB"/>
    <w:rsid w:val="00F90848"/>
    <w:rsid w:val="00F91609"/>
    <w:rsid w:val="00F91C1A"/>
    <w:rsid w:val="00F931DB"/>
    <w:rsid w:val="00F93B0B"/>
    <w:rsid w:val="00F94DC3"/>
    <w:rsid w:val="00F96239"/>
    <w:rsid w:val="00F96769"/>
    <w:rsid w:val="00F968AF"/>
    <w:rsid w:val="00F968C8"/>
    <w:rsid w:val="00F96D98"/>
    <w:rsid w:val="00F97626"/>
    <w:rsid w:val="00FA033B"/>
    <w:rsid w:val="00FA1185"/>
    <w:rsid w:val="00FA1339"/>
    <w:rsid w:val="00FA2326"/>
    <w:rsid w:val="00FA3BD8"/>
    <w:rsid w:val="00FA4AC3"/>
    <w:rsid w:val="00FA4FDE"/>
    <w:rsid w:val="00FA5A98"/>
    <w:rsid w:val="00FA5F62"/>
    <w:rsid w:val="00FB1BFA"/>
    <w:rsid w:val="00FB2A7A"/>
    <w:rsid w:val="00FB3195"/>
    <w:rsid w:val="00FB6F58"/>
    <w:rsid w:val="00FC02CB"/>
    <w:rsid w:val="00FC117A"/>
    <w:rsid w:val="00FC2605"/>
    <w:rsid w:val="00FC3910"/>
    <w:rsid w:val="00FC458C"/>
    <w:rsid w:val="00FC45E0"/>
    <w:rsid w:val="00FC68ED"/>
    <w:rsid w:val="00FC7068"/>
    <w:rsid w:val="00FC7132"/>
    <w:rsid w:val="00FC7B24"/>
    <w:rsid w:val="00FC7E3F"/>
    <w:rsid w:val="00FD0127"/>
    <w:rsid w:val="00FD034B"/>
    <w:rsid w:val="00FD0664"/>
    <w:rsid w:val="00FD0CB4"/>
    <w:rsid w:val="00FD10E4"/>
    <w:rsid w:val="00FD2308"/>
    <w:rsid w:val="00FD2E2D"/>
    <w:rsid w:val="00FD3609"/>
    <w:rsid w:val="00FD411C"/>
    <w:rsid w:val="00FD4228"/>
    <w:rsid w:val="00FD4306"/>
    <w:rsid w:val="00FD4308"/>
    <w:rsid w:val="00FD492E"/>
    <w:rsid w:val="00FD5886"/>
    <w:rsid w:val="00FD6075"/>
    <w:rsid w:val="00FD61EB"/>
    <w:rsid w:val="00FD6622"/>
    <w:rsid w:val="00FD6727"/>
    <w:rsid w:val="00FD67CE"/>
    <w:rsid w:val="00FD795E"/>
    <w:rsid w:val="00FD7B62"/>
    <w:rsid w:val="00FE01C9"/>
    <w:rsid w:val="00FE13FD"/>
    <w:rsid w:val="00FE166F"/>
    <w:rsid w:val="00FE1D74"/>
    <w:rsid w:val="00FE245E"/>
    <w:rsid w:val="00FE2CD4"/>
    <w:rsid w:val="00FE4AB3"/>
    <w:rsid w:val="00FE4DC0"/>
    <w:rsid w:val="00FE51E4"/>
    <w:rsid w:val="00FF226D"/>
    <w:rsid w:val="00FF2B8C"/>
    <w:rsid w:val="00FF3032"/>
    <w:rsid w:val="00FF3794"/>
    <w:rsid w:val="00FF3A85"/>
    <w:rsid w:val="00FF3C33"/>
    <w:rsid w:val="00FF4907"/>
    <w:rsid w:val="00FF49A5"/>
    <w:rsid w:val="00FF56A1"/>
    <w:rsid w:val="00FF5E08"/>
    <w:rsid w:val="00FF7572"/>
    <w:rsid w:val="01027FE9"/>
    <w:rsid w:val="011A71DF"/>
    <w:rsid w:val="01215E91"/>
    <w:rsid w:val="013323E1"/>
    <w:rsid w:val="013E1386"/>
    <w:rsid w:val="017A1D26"/>
    <w:rsid w:val="017C6DF3"/>
    <w:rsid w:val="01847FE1"/>
    <w:rsid w:val="018E7088"/>
    <w:rsid w:val="019B1CB0"/>
    <w:rsid w:val="019D6837"/>
    <w:rsid w:val="01AA5709"/>
    <w:rsid w:val="01AD5D6B"/>
    <w:rsid w:val="01AF70E0"/>
    <w:rsid w:val="01B33721"/>
    <w:rsid w:val="01BA1D56"/>
    <w:rsid w:val="01BB0CCB"/>
    <w:rsid w:val="01C12DC2"/>
    <w:rsid w:val="01C6459C"/>
    <w:rsid w:val="01CF5BEB"/>
    <w:rsid w:val="01D70619"/>
    <w:rsid w:val="01E40FDE"/>
    <w:rsid w:val="01FD08AF"/>
    <w:rsid w:val="020F4FED"/>
    <w:rsid w:val="023F5330"/>
    <w:rsid w:val="0240640E"/>
    <w:rsid w:val="024852EA"/>
    <w:rsid w:val="02547BA3"/>
    <w:rsid w:val="02702148"/>
    <w:rsid w:val="028031A6"/>
    <w:rsid w:val="02B2029A"/>
    <w:rsid w:val="02D046B1"/>
    <w:rsid w:val="02D304E5"/>
    <w:rsid w:val="02E22181"/>
    <w:rsid w:val="02F96D64"/>
    <w:rsid w:val="02FB0B36"/>
    <w:rsid w:val="03074C91"/>
    <w:rsid w:val="030D1D72"/>
    <w:rsid w:val="03112E33"/>
    <w:rsid w:val="03307105"/>
    <w:rsid w:val="03697FC5"/>
    <w:rsid w:val="0379566D"/>
    <w:rsid w:val="037D6DB6"/>
    <w:rsid w:val="037E6281"/>
    <w:rsid w:val="03833035"/>
    <w:rsid w:val="038D513B"/>
    <w:rsid w:val="039633EB"/>
    <w:rsid w:val="03A15322"/>
    <w:rsid w:val="03A55194"/>
    <w:rsid w:val="03B5413D"/>
    <w:rsid w:val="03B74411"/>
    <w:rsid w:val="03C56AB9"/>
    <w:rsid w:val="03DF519F"/>
    <w:rsid w:val="03E77584"/>
    <w:rsid w:val="03FF0999"/>
    <w:rsid w:val="040A3539"/>
    <w:rsid w:val="040B7785"/>
    <w:rsid w:val="040E40F0"/>
    <w:rsid w:val="041C74D0"/>
    <w:rsid w:val="04333955"/>
    <w:rsid w:val="043A2060"/>
    <w:rsid w:val="045A2EC8"/>
    <w:rsid w:val="0460391B"/>
    <w:rsid w:val="04871593"/>
    <w:rsid w:val="04893639"/>
    <w:rsid w:val="04901A27"/>
    <w:rsid w:val="04911EAD"/>
    <w:rsid w:val="04B9014F"/>
    <w:rsid w:val="04D913A3"/>
    <w:rsid w:val="04F350E5"/>
    <w:rsid w:val="04F4107A"/>
    <w:rsid w:val="051E4494"/>
    <w:rsid w:val="05234C5F"/>
    <w:rsid w:val="052A24F7"/>
    <w:rsid w:val="052F71BC"/>
    <w:rsid w:val="053777F1"/>
    <w:rsid w:val="05530DAB"/>
    <w:rsid w:val="05602A57"/>
    <w:rsid w:val="0566484C"/>
    <w:rsid w:val="05664D35"/>
    <w:rsid w:val="05960700"/>
    <w:rsid w:val="05A839A2"/>
    <w:rsid w:val="05B04177"/>
    <w:rsid w:val="05B2604D"/>
    <w:rsid w:val="05DA65D9"/>
    <w:rsid w:val="05FF6E19"/>
    <w:rsid w:val="06064B9B"/>
    <w:rsid w:val="060A5E1C"/>
    <w:rsid w:val="060E04E8"/>
    <w:rsid w:val="06215CEE"/>
    <w:rsid w:val="063B663E"/>
    <w:rsid w:val="063C6BB9"/>
    <w:rsid w:val="0653227B"/>
    <w:rsid w:val="06550C74"/>
    <w:rsid w:val="06654D46"/>
    <w:rsid w:val="0668269D"/>
    <w:rsid w:val="066E2AA6"/>
    <w:rsid w:val="06891295"/>
    <w:rsid w:val="068A6997"/>
    <w:rsid w:val="06960A2C"/>
    <w:rsid w:val="069C5ABA"/>
    <w:rsid w:val="06B061D8"/>
    <w:rsid w:val="06B60E3A"/>
    <w:rsid w:val="06BD70AC"/>
    <w:rsid w:val="06CE7434"/>
    <w:rsid w:val="06F2521E"/>
    <w:rsid w:val="07081481"/>
    <w:rsid w:val="071012F8"/>
    <w:rsid w:val="071D57C1"/>
    <w:rsid w:val="07221178"/>
    <w:rsid w:val="072C6CAA"/>
    <w:rsid w:val="0733346F"/>
    <w:rsid w:val="07591BBF"/>
    <w:rsid w:val="076B3B72"/>
    <w:rsid w:val="077E037E"/>
    <w:rsid w:val="077E1D74"/>
    <w:rsid w:val="07905F1A"/>
    <w:rsid w:val="07A71668"/>
    <w:rsid w:val="07B305F7"/>
    <w:rsid w:val="07D6438F"/>
    <w:rsid w:val="07DF669B"/>
    <w:rsid w:val="07EA6031"/>
    <w:rsid w:val="07EC3456"/>
    <w:rsid w:val="07ED5128"/>
    <w:rsid w:val="07EF5C9C"/>
    <w:rsid w:val="07FB046B"/>
    <w:rsid w:val="08095217"/>
    <w:rsid w:val="080972B9"/>
    <w:rsid w:val="080B3F3A"/>
    <w:rsid w:val="08243FB1"/>
    <w:rsid w:val="08301D42"/>
    <w:rsid w:val="08504CD5"/>
    <w:rsid w:val="08615484"/>
    <w:rsid w:val="08715C69"/>
    <w:rsid w:val="0874108B"/>
    <w:rsid w:val="087D1153"/>
    <w:rsid w:val="087F5FA5"/>
    <w:rsid w:val="088F3E10"/>
    <w:rsid w:val="08A51510"/>
    <w:rsid w:val="08C7255C"/>
    <w:rsid w:val="08C962B3"/>
    <w:rsid w:val="08D15B3D"/>
    <w:rsid w:val="08D64CFD"/>
    <w:rsid w:val="08D93B2C"/>
    <w:rsid w:val="08DE1092"/>
    <w:rsid w:val="08E009D8"/>
    <w:rsid w:val="08E15BD4"/>
    <w:rsid w:val="08F575B4"/>
    <w:rsid w:val="08F77205"/>
    <w:rsid w:val="08F91976"/>
    <w:rsid w:val="08FF228C"/>
    <w:rsid w:val="09110CDB"/>
    <w:rsid w:val="09356B2C"/>
    <w:rsid w:val="09466874"/>
    <w:rsid w:val="095003E3"/>
    <w:rsid w:val="09551843"/>
    <w:rsid w:val="09567C50"/>
    <w:rsid w:val="09583204"/>
    <w:rsid w:val="09617761"/>
    <w:rsid w:val="096B5666"/>
    <w:rsid w:val="098305C7"/>
    <w:rsid w:val="09A476A1"/>
    <w:rsid w:val="09A56FCB"/>
    <w:rsid w:val="09A6370B"/>
    <w:rsid w:val="09AF0467"/>
    <w:rsid w:val="09B224DA"/>
    <w:rsid w:val="09CE746D"/>
    <w:rsid w:val="09EF3449"/>
    <w:rsid w:val="09FA78E0"/>
    <w:rsid w:val="09FD279A"/>
    <w:rsid w:val="0A1318F0"/>
    <w:rsid w:val="0A146685"/>
    <w:rsid w:val="0A171891"/>
    <w:rsid w:val="0A1962C6"/>
    <w:rsid w:val="0A1D1A8A"/>
    <w:rsid w:val="0A293B67"/>
    <w:rsid w:val="0A307F2B"/>
    <w:rsid w:val="0A3A3E2F"/>
    <w:rsid w:val="0A3C7447"/>
    <w:rsid w:val="0A45023E"/>
    <w:rsid w:val="0A55013A"/>
    <w:rsid w:val="0A670208"/>
    <w:rsid w:val="0A775E06"/>
    <w:rsid w:val="0A784670"/>
    <w:rsid w:val="0A8727A1"/>
    <w:rsid w:val="0A880F28"/>
    <w:rsid w:val="0A984F3B"/>
    <w:rsid w:val="0AA06A63"/>
    <w:rsid w:val="0ACB0080"/>
    <w:rsid w:val="0ACE094F"/>
    <w:rsid w:val="0AD05711"/>
    <w:rsid w:val="0AD13395"/>
    <w:rsid w:val="0AD5445F"/>
    <w:rsid w:val="0AD73856"/>
    <w:rsid w:val="0ADB56C2"/>
    <w:rsid w:val="0ADE6E23"/>
    <w:rsid w:val="0AF6610B"/>
    <w:rsid w:val="0B425DE1"/>
    <w:rsid w:val="0B4D0DE0"/>
    <w:rsid w:val="0B4F3301"/>
    <w:rsid w:val="0B58133E"/>
    <w:rsid w:val="0B5E137B"/>
    <w:rsid w:val="0B65076A"/>
    <w:rsid w:val="0B684161"/>
    <w:rsid w:val="0B76076E"/>
    <w:rsid w:val="0B793A7F"/>
    <w:rsid w:val="0B7F0231"/>
    <w:rsid w:val="0B871EE9"/>
    <w:rsid w:val="0BA060CB"/>
    <w:rsid w:val="0BA96307"/>
    <w:rsid w:val="0BAE5A66"/>
    <w:rsid w:val="0BB70F5A"/>
    <w:rsid w:val="0BC362B3"/>
    <w:rsid w:val="0BC92371"/>
    <w:rsid w:val="0BE416E6"/>
    <w:rsid w:val="0BFB381E"/>
    <w:rsid w:val="0C037D6F"/>
    <w:rsid w:val="0C0F492D"/>
    <w:rsid w:val="0C17721A"/>
    <w:rsid w:val="0C2A00C2"/>
    <w:rsid w:val="0C36745B"/>
    <w:rsid w:val="0C534A87"/>
    <w:rsid w:val="0C650396"/>
    <w:rsid w:val="0C70686A"/>
    <w:rsid w:val="0C7E2247"/>
    <w:rsid w:val="0C887ED1"/>
    <w:rsid w:val="0C8B20DE"/>
    <w:rsid w:val="0C9E62AE"/>
    <w:rsid w:val="0CAB6DB6"/>
    <w:rsid w:val="0CB84BD2"/>
    <w:rsid w:val="0CBD797C"/>
    <w:rsid w:val="0CCE193B"/>
    <w:rsid w:val="0CD40394"/>
    <w:rsid w:val="0CDA7C3A"/>
    <w:rsid w:val="0CF1661F"/>
    <w:rsid w:val="0D0257E6"/>
    <w:rsid w:val="0D0465BF"/>
    <w:rsid w:val="0D2D3BE5"/>
    <w:rsid w:val="0D367DD1"/>
    <w:rsid w:val="0D4C2F05"/>
    <w:rsid w:val="0D5E6BAC"/>
    <w:rsid w:val="0D8A5FC2"/>
    <w:rsid w:val="0D8A708B"/>
    <w:rsid w:val="0DB65022"/>
    <w:rsid w:val="0DD6144C"/>
    <w:rsid w:val="0DEF159D"/>
    <w:rsid w:val="0DF12348"/>
    <w:rsid w:val="0DF7160E"/>
    <w:rsid w:val="0E077C61"/>
    <w:rsid w:val="0E471661"/>
    <w:rsid w:val="0E4A2B5B"/>
    <w:rsid w:val="0E512A58"/>
    <w:rsid w:val="0E575B1B"/>
    <w:rsid w:val="0E5D3351"/>
    <w:rsid w:val="0E7B04BB"/>
    <w:rsid w:val="0E7B638D"/>
    <w:rsid w:val="0E7B7EDD"/>
    <w:rsid w:val="0E7F27F1"/>
    <w:rsid w:val="0E907057"/>
    <w:rsid w:val="0E962AB1"/>
    <w:rsid w:val="0EA02ADB"/>
    <w:rsid w:val="0EA3755D"/>
    <w:rsid w:val="0EC62490"/>
    <w:rsid w:val="0EC86054"/>
    <w:rsid w:val="0ED55F48"/>
    <w:rsid w:val="0ED97026"/>
    <w:rsid w:val="0EE32FC5"/>
    <w:rsid w:val="0F064162"/>
    <w:rsid w:val="0F0B42D5"/>
    <w:rsid w:val="0F1E07ED"/>
    <w:rsid w:val="0F2B69A5"/>
    <w:rsid w:val="0F3C1162"/>
    <w:rsid w:val="0F402997"/>
    <w:rsid w:val="0F51413B"/>
    <w:rsid w:val="0F5454AC"/>
    <w:rsid w:val="0F58332A"/>
    <w:rsid w:val="0F5B17C2"/>
    <w:rsid w:val="0F647EE5"/>
    <w:rsid w:val="0F650CD3"/>
    <w:rsid w:val="0F7D4B97"/>
    <w:rsid w:val="0FA37677"/>
    <w:rsid w:val="0FA8361C"/>
    <w:rsid w:val="0FAD02F8"/>
    <w:rsid w:val="0FCD49B0"/>
    <w:rsid w:val="0FD468EE"/>
    <w:rsid w:val="0FE72154"/>
    <w:rsid w:val="0FE96A9B"/>
    <w:rsid w:val="101A4A5B"/>
    <w:rsid w:val="102A466C"/>
    <w:rsid w:val="106645DB"/>
    <w:rsid w:val="107356E4"/>
    <w:rsid w:val="10743262"/>
    <w:rsid w:val="10792331"/>
    <w:rsid w:val="10835DE6"/>
    <w:rsid w:val="1092063F"/>
    <w:rsid w:val="10B55AC9"/>
    <w:rsid w:val="10C248A4"/>
    <w:rsid w:val="10D709EA"/>
    <w:rsid w:val="10DA4C53"/>
    <w:rsid w:val="11136D7C"/>
    <w:rsid w:val="11183F82"/>
    <w:rsid w:val="11350E9B"/>
    <w:rsid w:val="113E70EA"/>
    <w:rsid w:val="114807D5"/>
    <w:rsid w:val="11493AED"/>
    <w:rsid w:val="116625DD"/>
    <w:rsid w:val="116C3E38"/>
    <w:rsid w:val="117F50A3"/>
    <w:rsid w:val="118B57CB"/>
    <w:rsid w:val="118F744C"/>
    <w:rsid w:val="119C1736"/>
    <w:rsid w:val="11A60991"/>
    <w:rsid w:val="11AA0462"/>
    <w:rsid w:val="11C7444C"/>
    <w:rsid w:val="11CB5635"/>
    <w:rsid w:val="11DD14FF"/>
    <w:rsid w:val="11ED0477"/>
    <w:rsid w:val="11FB126E"/>
    <w:rsid w:val="12000811"/>
    <w:rsid w:val="120652DA"/>
    <w:rsid w:val="120D22C0"/>
    <w:rsid w:val="120F1170"/>
    <w:rsid w:val="121913AC"/>
    <w:rsid w:val="121D1988"/>
    <w:rsid w:val="122F20B3"/>
    <w:rsid w:val="124F35EF"/>
    <w:rsid w:val="12620299"/>
    <w:rsid w:val="12763C9B"/>
    <w:rsid w:val="12975DD3"/>
    <w:rsid w:val="12977855"/>
    <w:rsid w:val="129B731A"/>
    <w:rsid w:val="12A62FBA"/>
    <w:rsid w:val="12A72068"/>
    <w:rsid w:val="12B530CF"/>
    <w:rsid w:val="12B74C1D"/>
    <w:rsid w:val="12D8595C"/>
    <w:rsid w:val="12F930BA"/>
    <w:rsid w:val="130A18B9"/>
    <w:rsid w:val="131E75C3"/>
    <w:rsid w:val="132D5901"/>
    <w:rsid w:val="13344C7B"/>
    <w:rsid w:val="1346714A"/>
    <w:rsid w:val="134E10EB"/>
    <w:rsid w:val="1366414A"/>
    <w:rsid w:val="137669EC"/>
    <w:rsid w:val="13775BD6"/>
    <w:rsid w:val="13881EA1"/>
    <w:rsid w:val="138D12B4"/>
    <w:rsid w:val="1392419F"/>
    <w:rsid w:val="13A55BD5"/>
    <w:rsid w:val="14034454"/>
    <w:rsid w:val="141672C1"/>
    <w:rsid w:val="141D16AB"/>
    <w:rsid w:val="141D4F97"/>
    <w:rsid w:val="141D57A5"/>
    <w:rsid w:val="144330AB"/>
    <w:rsid w:val="144767F2"/>
    <w:rsid w:val="145047F4"/>
    <w:rsid w:val="1460773A"/>
    <w:rsid w:val="14771299"/>
    <w:rsid w:val="14795AC5"/>
    <w:rsid w:val="148B6862"/>
    <w:rsid w:val="1492487A"/>
    <w:rsid w:val="14970C6F"/>
    <w:rsid w:val="14A167A4"/>
    <w:rsid w:val="14C4590D"/>
    <w:rsid w:val="14C74CD7"/>
    <w:rsid w:val="14C90700"/>
    <w:rsid w:val="14C9236B"/>
    <w:rsid w:val="14E04BE1"/>
    <w:rsid w:val="14FB0A96"/>
    <w:rsid w:val="15023C95"/>
    <w:rsid w:val="150745CD"/>
    <w:rsid w:val="15125561"/>
    <w:rsid w:val="15184ABE"/>
    <w:rsid w:val="151E4738"/>
    <w:rsid w:val="15214294"/>
    <w:rsid w:val="15536FE5"/>
    <w:rsid w:val="156B4293"/>
    <w:rsid w:val="15990AFB"/>
    <w:rsid w:val="15B16FEF"/>
    <w:rsid w:val="15B577A0"/>
    <w:rsid w:val="15B7796F"/>
    <w:rsid w:val="15E459DD"/>
    <w:rsid w:val="15F56F5A"/>
    <w:rsid w:val="16134AE4"/>
    <w:rsid w:val="161F30E7"/>
    <w:rsid w:val="16287A2D"/>
    <w:rsid w:val="163177F5"/>
    <w:rsid w:val="1637090C"/>
    <w:rsid w:val="16442DE3"/>
    <w:rsid w:val="164E05D5"/>
    <w:rsid w:val="164F3A24"/>
    <w:rsid w:val="168A4209"/>
    <w:rsid w:val="1697796D"/>
    <w:rsid w:val="169A7831"/>
    <w:rsid w:val="16A175AF"/>
    <w:rsid w:val="16A352F8"/>
    <w:rsid w:val="16AF7682"/>
    <w:rsid w:val="16B85807"/>
    <w:rsid w:val="16B96530"/>
    <w:rsid w:val="16BC64D0"/>
    <w:rsid w:val="16C34827"/>
    <w:rsid w:val="16C911CE"/>
    <w:rsid w:val="16DF61AE"/>
    <w:rsid w:val="16F76D7B"/>
    <w:rsid w:val="17202782"/>
    <w:rsid w:val="173B0F4B"/>
    <w:rsid w:val="17593A4D"/>
    <w:rsid w:val="175F5AF1"/>
    <w:rsid w:val="17813AFA"/>
    <w:rsid w:val="17A128F4"/>
    <w:rsid w:val="17B2622E"/>
    <w:rsid w:val="17BF3147"/>
    <w:rsid w:val="17E16E26"/>
    <w:rsid w:val="17F65E71"/>
    <w:rsid w:val="17F757E2"/>
    <w:rsid w:val="17F83925"/>
    <w:rsid w:val="180427E7"/>
    <w:rsid w:val="18345D68"/>
    <w:rsid w:val="183B100C"/>
    <w:rsid w:val="18434DDE"/>
    <w:rsid w:val="18443496"/>
    <w:rsid w:val="185F38A1"/>
    <w:rsid w:val="186E039A"/>
    <w:rsid w:val="18747919"/>
    <w:rsid w:val="187E0110"/>
    <w:rsid w:val="187F24C2"/>
    <w:rsid w:val="18812078"/>
    <w:rsid w:val="1881452D"/>
    <w:rsid w:val="1884162E"/>
    <w:rsid w:val="188534B1"/>
    <w:rsid w:val="1895203C"/>
    <w:rsid w:val="189C417F"/>
    <w:rsid w:val="18A03CEF"/>
    <w:rsid w:val="18B36550"/>
    <w:rsid w:val="18BF52ED"/>
    <w:rsid w:val="18C9254E"/>
    <w:rsid w:val="18CC282E"/>
    <w:rsid w:val="18D854E2"/>
    <w:rsid w:val="18E47B63"/>
    <w:rsid w:val="18EC24A4"/>
    <w:rsid w:val="18F41242"/>
    <w:rsid w:val="191176F8"/>
    <w:rsid w:val="191666F0"/>
    <w:rsid w:val="192C0839"/>
    <w:rsid w:val="192D7E55"/>
    <w:rsid w:val="19347B80"/>
    <w:rsid w:val="19441D70"/>
    <w:rsid w:val="1947482E"/>
    <w:rsid w:val="194B2C75"/>
    <w:rsid w:val="195C52D2"/>
    <w:rsid w:val="19603362"/>
    <w:rsid w:val="19660326"/>
    <w:rsid w:val="1968393F"/>
    <w:rsid w:val="197064F5"/>
    <w:rsid w:val="1972456E"/>
    <w:rsid w:val="197E02CF"/>
    <w:rsid w:val="19B77FAB"/>
    <w:rsid w:val="19D473F7"/>
    <w:rsid w:val="19D55360"/>
    <w:rsid w:val="19D56866"/>
    <w:rsid w:val="19EA43C4"/>
    <w:rsid w:val="1A1A5B86"/>
    <w:rsid w:val="1A227BC3"/>
    <w:rsid w:val="1A4F45AD"/>
    <w:rsid w:val="1A577FD0"/>
    <w:rsid w:val="1A68561A"/>
    <w:rsid w:val="1A8249F3"/>
    <w:rsid w:val="1A9026FE"/>
    <w:rsid w:val="1A9270EC"/>
    <w:rsid w:val="1A951FBF"/>
    <w:rsid w:val="1AA437F7"/>
    <w:rsid w:val="1AC4579E"/>
    <w:rsid w:val="1AC743CB"/>
    <w:rsid w:val="1AD739DB"/>
    <w:rsid w:val="1ADF18F7"/>
    <w:rsid w:val="1AEC2190"/>
    <w:rsid w:val="1AEE1343"/>
    <w:rsid w:val="1AFF6A03"/>
    <w:rsid w:val="1B0F11CC"/>
    <w:rsid w:val="1B2047B7"/>
    <w:rsid w:val="1B271673"/>
    <w:rsid w:val="1B392E2A"/>
    <w:rsid w:val="1B397E23"/>
    <w:rsid w:val="1B54779D"/>
    <w:rsid w:val="1B73393F"/>
    <w:rsid w:val="1B7E3557"/>
    <w:rsid w:val="1B7E723F"/>
    <w:rsid w:val="1B7F6A0B"/>
    <w:rsid w:val="1BA55E14"/>
    <w:rsid w:val="1BAD1F1D"/>
    <w:rsid w:val="1BC0060A"/>
    <w:rsid w:val="1BC01FC9"/>
    <w:rsid w:val="1BCD501F"/>
    <w:rsid w:val="1BDB5379"/>
    <w:rsid w:val="1BDE5163"/>
    <w:rsid w:val="1BEC2C8A"/>
    <w:rsid w:val="1BFD30D0"/>
    <w:rsid w:val="1C06556F"/>
    <w:rsid w:val="1C067B78"/>
    <w:rsid w:val="1C0B0D51"/>
    <w:rsid w:val="1C0C7380"/>
    <w:rsid w:val="1C1B03B0"/>
    <w:rsid w:val="1C220E2B"/>
    <w:rsid w:val="1C4109A6"/>
    <w:rsid w:val="1C4A79FE"/>
    <w:rsid w:val="1C531B72"/>
    <w:rsid w:val="1C531C0F"/>
    <w:rsid w:val="1C647C4F"/>
    <w:rsid w:val="1C752ED3"/>
    <w:rsid w:val="1C7619D5"/>
    <w:rsid w:val="1C782058"/>
    <w:rsid w:val="1C8F5157"/>
    <w:rsid w:val="1CA764F0"/>
    <w:rsid w:val="1CA91C56"/>
    <w:rsid w:val="1CB13A7F"/>
    <w:rsid w:val="1CB649BD"/>
    <w:rsid w:val="1CB90E25"/>
    <w:rsid w:val="1CDA097C"/>
    <w:rsid w:val="1CFC3162"/>
    <w:rsid w:val="1D4B4F20"/>
    <w:rsid w:val="1D525891"/>
    <w:rsid w:val="1D5564D8"/>
    <w:rsid w:val="1D6216C3"/>
    <w:rsid w:val="1D7149CA"/>
    <w:rsid w:val="1D881B28"/>
    <w:rsid w:val="1D8F5175"/>
    <w:rsid w:val="1D9A4618"/>
    <w:rsid w:val="1D9C07D4"/>
    <w:rsid w:val="1D9D4924"/>
    <w:rsid w:val="1DA06925"/>
    <w:rsid w:val="1DB01B9B"/>
    <w:rsid w:val="1DBD6362"/>
    <w:rsid w:val="1DBF62C6"/>
    <w:rsid w:val="1DF11A27"/>
    <w:rsid w:val="1DF6757A"/>
    <w:rsid w:val="1E007159"/>
    <w:rsid w:val="1E063B54"/>
    <w:rsid w:val="1E286785"/>
    <w:rsid w:val="1E310104"/>
    <w:rsid w:val="1E352B0F"/>
    <w:rsid w:val="1E3B2F9F"/>
    <w:rsid w:val="1E4756EF"/>
    <w:rsid w:val="1E521DA8"/>
    <w:rsid w:val="1E5576AB"/>
    <w:rsid w:val="1E7D44CD"/>
    <w:rsid w:val="1E8E6A1F"/>
    <w:rsid w:val="1E9D3EFF"/>
    <w:rsid w:val="1E9F3EE3"/>
    <w:rsid w:val="1EAC6A95"/>
    <w:rsid w:val="1EB356B1"/>
    <w:rsid w:val="1EB74725"/>
    <w:rsid w:val="1EBD29BE"/>
    <w:rsid w:val="1ED91A63"/>
    <w:rsid w:val="1EDB3B66"/>
    <w:rsid w:val="1EE639D0"/>
    <w:rsid w:val="1EF33144"/>
    <w:rsid w:val="1EF946C8"/>
    <w:rsid w:val="1EFF2572"/>
    <w:rsid w:val="1F131AF1"/>
    <w:rsid w:val="1F2018EA"/>
    <w:rsid w:val="1F2579DB"/>
    <w:rsid w:val="1F305A11"/>
    <w:rsid w:val="1F325719"/>
    <w:rsid w:val="1F3A14CA"/>
    <w:rsid w:val="1F3D5EB6"/>
    <w:rsid w:val="1F4C359C"/>
    <w:rsid w:val="1F6B432B"/>
    <w:rsid w:val="1F90616F"/>
    <w:rsid w:val="1F91006F"/>
    <w:rsid w:val="1FA029A3"/>
    <w:rsid w:val="1FA443D5"/>
    <w:rsid w:val="1FA779E8"/>
    <w:rsid w:val="1FD02D05"/>
    <w:rsid w:val="1FDF0109"/>
    <w:rsid w:val="1FEB3D9B"/>
    <w:rsid w:val="1FF241BA"/>
    <w:rsid w:val="1FF3624E"/>
    <w:rsid w:val="1FF81D0E"/>
    <w:rsid w:val="200F79E4"/>
    <w:rsid w:val="201F4891"/>
    <w:rsid w:val="202400C1"/>
    <w:rsid w:val="203406C8"/>
    <w:rsid w:val="20496DDE"/>
    <w:rsid w:val="205B24C5"/>
    <w:rsid w:val="20632AE8"/>
    <w:rsid w:val="20807301"/>
    <w:rsid w:val="20832D45"/>
    <w:rsid w:val="2091436E"/>
    <w:rsid w:val="20AC3C6F"/>
    <w:rsid w:val="20AD19A5"/>
    <w:rsid w:val="20AE569B"/>
    <w:rsid w:val="20B70272"/>
    <w:rsid w:val="20B72CC9"/>
    <w:rsid w:val="20CA7334"/>
    <w:rsid w:val="20CC20AC"/>
    <w:rsid w:val="20D445ED"/>
    <w:rsid w:val="20DD4ED5"/>
    <w:rsid w:val="20F55608"/>
    <w:rsid w:val="20F81E5D"/>
    <w:rsid w:val="21135141"/>
    <w:rsid w:val="21173702"/>
    <w:rsid w:val="211D05D7"/>
    <w:rsid w:val="212C7428"/>
    <w:rsid w:val="215328C8"/>
    <w:rsid w:val="21621B16"/>
    <w:rsid w:val="218E54CF"/>
    <w:rsid w:val="21A535BF"/>
    <w:rsid w:val="21AA5994"/>
    <w:rsid w:val="21B16D32"/>
    <w:rsid w:val="21BE5F7A"/>
    <w:rsid w:val="21DD1D6B"/>
    <w:rsid w:val="21E94348"/>
    <w:rsid w:val="21F073CB"/>
    <w:rsid w:val="22032878"/>
    <w:rsid w:val="220603A2"/>
    <w:rsid w:val="2215788D"/>
    <w:rsid w:val="22284635"/>
    <w:rsid w:val="224A1CB2"/>
    <w:rsid w:val="226F4B31"/>
    <w:rsid w:val="226F645B"/>
    <w:rsid w:val="227F3C92"/>
    <w:rsid w:val="22890025"/>
    <w:rsid w:val="228E4C61"/>
    <w:rsid w:val="22A67540"/>
    <w:rsid w:val="22AB3386"/>
    <w:rsid w:val="22C25E11"/>
    <w:rsid w:val="22DD419B"/>
    <w:rsid w:val="22FA42EC"/>
    <w:rsid w:val="23003E67"/>
    <w:rsid w:val="232E7648"/>
    <w:rsid w:val="235661EE"/>
    <w:rsid w:val="23622972"/>
    <w:rsid w:val="237E1915"/>
    <w:rsid w:val="2384318E"/>
    <w:rsid w:val="23AA4406"/>
    <w:rsid w:val="23B7375C"/>
    <w:rsid w:val="23C5341E"/>
    <w:rsid w:val="23E429BB"/>
    <w:rsid w:val="23FF466B"/>
    <w:rsid w:val="24133FDA"/>
    <w:rsid w:val="243323FB"/>
    <w:rsid w:val="2435674C"/>
    <w:rsid w:val="244B1FFC"/>
    <w:rsid w:val="24536160"/>
    <w:rsid w:val="246D0222"/>
    <w:rsid w:val="2478534A"/>
    <w:rsid w:val="2479293B"/>
    <w:rsid w:val="24940D4F"/>
    <w:rsid w:val="24D02836"/>
    <w:rsid w:val="24F42F20"/>
    <w:rsid w:val="24FE32DD"/>
    <w:rsid w:val="2508721B"/>
    <w:rsid w:val="250905A5"/>
    <w:rsid w:val="250A21CC"/>
    <w:rsid w:val="250B6426"/>
    <w:rsid w:val="251C1C1C"/>
    <w:rsid w:val="251F4163"/>
    <w:rsid w:val="252C5FAD"/>
    <w:rsid w:val="25383683"/>
    <w:rsid w:val="25396E02"/>
    <w:rsid w:val="253B4A17"/>
    <w:rsid w:val="253E58A0"/>
    <w:rsid w:val="253F4E83"/>
    <w:rsid w:val="2553575E"/>
    <w:rsid w:val="255C4754"/>
    <w:rsid w:val="25601D38"/>
    <w:rsid w:val="25663AA3"/>
    <w:rsid w:val="25A76167"/>
    <w:rsid w:val="25BE66F6"/>
    <w:rsid w:val="25C45115"/>
    <w:rsid w:val="25C6191B"/>
    <w:rsid w:val="25D535AD"/>
    <w:rsid w:val="25DD4090"/>
    <w:rsid w:val="25F52D62"/>
    <w:rsid w:val="260F2AB9"/>
    <w:rsid w:val="26166FB9"/>
    <w:rsid w:val="26175FBB"/>
    <w:rsid w:val="261E4042"/>
    <w:rsid w:val="261E5BD1"/>
    <w:rsid w:val="263C500B"/>
    <w:rsid w:val="268E43DE"/>
    <w:rsid w:val="26AA4705"/>
    <w:rsid w:val="26B42966"/>
    <w:rsid w:val="26B91FA6"/>
    <w:rsid w:val="26BA61EA"/>
    <w:rsid w:val="26BC2B93"/>
    <w:rsid w:val="26BC7B9D"/>
    <w:rsid w:val="26CE150A"/>
    <w:rsid w:val="26D031AD"/>
    <w:rsid w:val="26D67A01"/>
    <w:rsid w:val="26DE7F9D"/>
    <w:rsid w:val="26F63AD5"/>
    <w:rsid w:val="26F871F3"/>
    <w:rsid w:val="27056B7E"/>
    <w:rsid w:val="27124907"/>
    <w:rsid w:val="271250BB"/>
    <w:rsid w:val="272E7826"/>
    <w:rsid w:val="27361B5A"/>
    <w:rsid w:val="273A0F67"/>
    <w:rsid w:val="274F1C97"/>
    <w:rsid w:val="275E5156"/>
    <w:rsid w:val="276D63AB"/>
    <w:rsid w:val="276D7091"/>
    <w:rsid w:val="27733A7A"/>
    <w:rsid w:val="27773A7B"/>
    <w:rsid w:val="278F6C98"/>
    <w:rsid w:val="279155B8"/>
    <w:rsid w:val="27935BD0"/>
    <w:rsid w:val="279E2AE8"/>
    <w:rsid w:val="27A60B7D"/>
    <w:rsid w:val="27CB2C0E"/>
    <w:rsid w:val="27DA4B26"/>
    <w:rsid w:val="27E413AD"/>
    <w:rsid w:val="27FA116C"/>
    <w:rsid w:val="28093DF1"/>
    <w:rsid w:val="2818236F"/>
    <w:rsid w:val="281B239C"/>
    <w:rsid w:val="28244DC0"/>
    <w:rsid w:val="283C016C"/>
    <w:rsid w:val="283F6F80"/>
    <w:rsid w:val="285041AC"/>
    <w:rsid w:val="28652DD9"/>
    <w:rsid w:val="286A724F"/>
    <w:rsid w:val="28715468"/>
    <w:rsid w:val="28876EC0"/>
    <w:rsid w:val="288D0FE1"/>
    <w:rsid w:val="28953F39"/>
    <w:rsid w:val="28A95621"/>
    <w:rsid w:val="28BA08F1"/>
    <w:rsid w:val="28FB5615"/>
    <w:rsid w:val="2909504E"/>
    <w:rsid w:val="290C705C"/>
    <w:rsid w:val="29247B92"/>
    <w:rsid w:val="292968AB"/>
    <w:rsid w:val="29310366"/>
    <w:rsid w:val="29415BAE"/>
    <w:rsid w:val="29417CF1"/>
    <w:rsid w:val="29460A47"/>
    <w:rsid w:val="294C2D29"/>
    <w:rsid w:val="294D638D"/>
    <w:rsid w:val="295112B2"/>
    <w:rsid w:val="29523D57"/>
    <w:rsid w:val="2970344D"/>
    <w:rsid w:val="29735EDB"/>
    <w:rsid w:val="297927F0"/>
    <w:rsid w:val="298F6F89"/>
    <w:rsid w:val="29A44BA6"/>
    <w:rsid w:val="29A958ED"/>
    <w:rsid w:val="29AB468A"/>
    <w:rsid w:val="29BA0A13"/>
    <w:rsid w:val="29C05951"/>
    <w:rsid w:val="29D452A9"/>
    <w:rsid w:val="29E22545"/>
    <w:rsid w:val="29EB2E23"/>
    <w:rsid w:val="29EC055B"/>
    <w:rsid w:val="29EF2716"/>
    <w:rsid w:val="29F74E2E"/>
    <w:rsid w:val="29F83F99"/>
    <w:rsid w:val="2A05449D"/>
    <w:rsid w:val="2A177252"/>
    <w:rsid w:val="2A266410"/>
    <w:rsid w:val="2A567611"/>
    <w:rsid w:val="2A5F403B"/>
    <w:rsid w:val="2A6A1484"/>
    <w:rsid w:val="2A6E2525"/>
    <w:rsid w:val="2A6E586D"/>
    <w:rsid w:val="2A95654D"/>
    <w:rsid w:val="2ABA602F"/>
    <w:rsid w:val="2AC53CC7"/>
    <w:rsid w:val="2ADC3030"/>
    <w:rsid w:val="2AE15A4B"/>
    <w:rsid w:val="2B074664"/>
    <w:rsid w:val="2B0E7042"/>
    <w:rsid w:val="2B3E0F25"/>
    <w:rsid w:val="2B3E24D2"/>
    <w:rsid w:val="2B4F24FC"/>
    <w:rsid w:val="2B64506A"/>
    <w:rsid w:val="2B704A3F"/>
    <w:rsid w:val="2B7369F3"/>
    <w:rsid w:val="2B7827D7"/>
    <w:rsid w:val="2B920351"/>
    <w:rsid w:val="2B9E5AE6"/>
    <w:rsid w:val="2BAD26E9"/>
    <w:rsid w:val="2BB33FC8"/>
    <w:rsid w:val="2BBF4A6D"/>
    <w:rsid w:val="2BC24938"/>
    <w:rsid w:val="2BC631F0"/>
    <w:rsid w:val="2BE857BA"/>
    <w:rsid w:val="2BEA354A"/>
    <w:rsid w:val="2BEE39AC"/>
    <w:rsid w:val="2C0F229E"/>
    <w:rsid w:val="2C1C375A"/>
    <w:rsid w:val="2C436774"/>
    <w:rsid w:val="2C5A5A9B"/>
    <w:rsid w:val="2C655B63"/>
    <w:rsid w:val="2C772F26"/>
    <w:rsid w:val="2C870BCE"/>
    <w:rsid w:val="2C88413B"/>
    <w:rsid w:val="2C931009"/>
    <w:rsid w:val="2CA674B7"/>
    <w:rsid w:val="2CB6362F"/>
    <w:rsid w:val="2CE60EE5"/>
    <w:rsid w:val="2CE95AE2"/>
    <w:rsid w:val="2D211E23"/>
    <w:rsid w:val="2D412B3D"/>
    <w:rsid w:val="2D421FBD"/>
    <w:rsid w:val="2D564DF4"/>
    <w:rsid w:val="2D5D0194"/>
    <w:rsid w:val="2D64391A"/>
    <w:rsid w:val="2D646B13"/>
    <w:rsid w:val="2D722835"/>
    <w:rsid w:val="2D9A68F3"/>
    <w:rsid w:val="2DA13C96"/>
    <w:rsid w:val="2DD06768"/>
    <w:rsid w:val="2DD81F4C"/>
    <w:rsid w:val="2DEA0AA1"/>
    <w:rsid w:val="2DFD3F43"/>
    <w:rsid w:val="2DFE0EBC"/>
    <w:rsid w:val="2E297BF1"/>
    <w:rsid w:val="2E2B5F35"/>
    <w:rsid w:val="2E6C1DC4"/>
    <w:rsid w:val="2E974557"/>
    <w:rsid w:val="2EA24459"/>
    <w:rsid w:val="2EA3308E"/>
    <w:rsid w:val="2EA91EC6"/>
    <w:rsid w:val="2EAA01DB"/>
    <w:rsid w:val="2EC02126"/>
    <w:rsid w:val="2EC42A48"/>
    <w:rsid w:val="2EC906CC"/>
    <w:rsid w:val="2ED02954"/>
    <w:rsid w:val="2ED35485"/>
    <w:rsid w:val="2ED531D3"/>
    <w:rsid w:val="2EFA5C7E"/>
    <w:rsid w:val="2F2125F8"/>
    <w:rsid w:val="2F33128D"/>
    <w:rsid w:val="2F3F0C2D"/>
    <w:rsid w:val="2F4547B1"/>
    <w:rsid w:val="2F480F2F"/>
    <w:rsid w:val="2F4C32C8"/>
    <w:rsid w:val="2F5A1836"/>
    <w:rsid w:val="2F810860"/>
    <w:rsid w:val="2F947CD4"/>
    <w:rsid w:val="2FB15A97"/>
    <w:rsid w:val="2FB54FDE"/>
    <w:rsid w:val="2FB901EA"/>
    <w:rsid w:val="2FBC47ED"/>
    <w:rsid w:val="2FC4236E"/>
    <w:rsid w:val="2FC5038A"/>
    <w:rsid w:val="2FF958FE"/>
    <w:rsid w:val="302A40A9"/>
    <w:rsid w:val="303A6487"/>
    <w:rsid w:val="304155A8"/>
    <w:rsid w:val="30474C30"/>
    <w:rsid w:val="304E4BBA"/>
    <w:rsid w:val="305C7BB9"/>
    <w:rsid w:val="305D5C3D"/>
    <w:rsid w:val="3075350E"/>
    <w:rsid w:val="30825CF0"/>
    <w:rsid w:val="308904F6"/>
    <w:rsid w:val="309E0550"/>
    <w:rsid w:val="30BC54F7"/>
    <w:rsid w:val="30CF3189"/>
    <w:rsid w:val="30D13F68"/>
    <w:rsid w:val="30D15EF3"/>
    <w:rsid w:val="30D72ED6"/>
    <w:rsid w:val="30DF2EF5"/>
    <w:rsid w:val="30E772D1"/>
    <w:rsid w:val="30EA066F"/>
    <w:rsid w:val="30EA5A4B"/>
    <w:rsid w:val="3112292F"/>
    <w:rsid w:val="311D0C5E"/>
    <w:rsid w:val="312C5BE9"/>
    <w:rsid w:val="31397248"/>
    <w:rsid w:val="313A1BDF"/>
    <w:rsid w:val="31457FFE"/>
    <w:rsid w:val="314D779B"/>
    <w:rsid w:val="31503073"/>
    <w:rsid w:val="315F4C57"/>
    <w:rsid w:val="31A17C94"/>
    <w:rsid w:val="31A61546"/>
    <w:rsid w:val="31AC2B2F"/>
    <w:rsid w:val="31EC37E8"/>
    <w:rsid w:val="320B4321"/>
    <w:rsid w:val="321F4F49"/>
    <w:rsid w:val="32206FEE"/>
    <w:rsid w:val="322458B4"/>
    <w:rsid w:val="32264972"/>
    <w:rsid w:val="3235323B"/>
    <w:rsid w:val="324319E3"/>
    <w:rsid w:val="326B0E94"/>
    <w:rsid w:val="326F3499"/>
    <w:rsid w:val="327705AF"/>
    <w:rsid w:val="328B4E1A"/>
    <w:rsid w:val="328F6003"/>
    <w:rsid w:val="3299144B"/>
    <w:rsid w:val="329A6B82"/>
    <w:rsid w:val="329F7784"/>
    <w:rsid w:val="32BC1A56"/>
    <w:rsid w:val="32DE55C0"/>
    <w:rsid w:val="32E249AC"/>
    <w:rsid w:val="32F306F5"/>
    <w:rsid w:val="32FB6615"/>
    <w:rsid w:val="33080B04"/>
    <w:rsid w:val="330D4247"/>
    <w:rsid w:val="330F484F"/>
    <w:rsid w:val="3321563A"/>
    <w:rsid w:val="332A0390"/>
    <w:rsid w:val="332F4539"/>
    <w:rsid w:val="33333AF4"/>
    <w:rsid w:val="333D496E"/>
    <w:rsid w:val="333F182D"/>
    <w:rsid w:val="334524EF"/>
    <w:rsid w:val="334C098C"/>
    <w:rsid w:val="33654F22"/>
    <w:rsid w:val="336D6CC7"/>
    <w:rsid w:val="33757DBD"/>
    <w:rsid w:val="337B2E8C"/>
    <w:rsid w:val="33883875"/>
    <w:rsid w:val="33A843CD"/>
    <w:rsid w:val="33D40ED2"/>
    <w:rsid w:val="340A2266"/>
    <w:rsid w:val="340B0CFB"/>
    <w:rsid w:val="3413527E"/>
    <w:rsid w:val="341F4EDE"/>
    <w:rsid w:val="34203F7F"/>
    <w:rsid w:val="342C5DA5"/>
    <w:rsid w:val="34457702"/>
    <w:rsid w:val="346075FC"/>
    <w:rsid w:val="34611497"/>
    <w:rsid w:val="34614B57"/>
    <w:rsid w:val="34890A53"/>
    <w:rsid w:val="34911705"/>
    <w:rsid w:val="34955A88"/>
    <w:rsid w:val="349D0EF0"/>
    <w:rsid w:val="34A2530D"/>
    <w:rsid w:val="34AA3E6A"/>
    <w:rsid w:val="34AC61BF"/>
    <w:rsid w:val="34B40CD5"/>
    <w:rsid w:val="34E04ECD"/>
    <w:rsid w:val="34ED3AB4"/>
    <w:rsid w:val="35022A1E"/>
    <w:rsid w:val="3505142E"/>
    <w:rsid w:val="350847B4"/>
    <w:rsid w:val="351038FA"/>
    <w:rsid w:val="3516087A"/>
    <w:rsid w:val="351C4169"/>
    <w:rsid w:val="35243274"/>
    <w:rsid w:val="354E15D2"/>
    <w:rsid w:val="35534575"/>
    <w:rsid w:val="35673789"/>
    <w:rsid w:val="35772382"/>
    <w:rsid w:val="35791D78"/>
    <w:rsid w:val="35986EA7"/>
    <w:rsid w:val="35A04460"/>
    <w:rsid w:val="35B97ED9"/>
    <w:rsid w:val="35D013B1"/>
    <w:rsid w:val="35EB0D61"/>
    <w:rsid w:val="35EB4490"/>
    <w:rsid w:val="35F22D33"/>
    <w:rsid w:val="360047BE"/>
    <w:rsid w:val="36062AE2"/>
    <w:rsid w:val="363B1596"/>
    <w:rsid w:val="363F621C"/>
    <w:rsid w:val="36454608"/>
    <w:rsid w:val="36536FAF"/>
    <w:rsid w:val="366201C6"/>
    <w:rsid w:val="36663716"/>
    <w:rsid w:val="36722711"/>
    <w:rsid w:val="368426C9"/>
    <w:rsid w:val="369E4BC7"/>
    <w:rsid w:val="36A978FB"/>
    <w:rsid w:val="36BE1336"/>
    <w:rsid w:val="36CA696D"/>
    <w:rsid w:val="36E34866"/>
    <w:rsid w:val="3700033B"/>
    <w:rsid w:val="3711577D"/>
    <w:rsid w:val="372D4AD6"/>
    <w:rsid w:val="37484FAB"/>
    <w:rsid w:val="375F4426"/>
    <w:rsid w:val="379A2CC5"/>
    <w:rsid w:val="37C23B01"/>
    <w:rsid w:val="37D63708"/>
    <w:rsid w:val="37DA74E7"/>
    <w:rsid w:val="37DF76C3"/>
    <w:rsid w:val="37E504EB"/>
    <w:rsid w:val="37FB5DB2"/>
    <w:rsid w:val="37FF668E"/>
    <w:rsid w:val="38025A8B"/>
    <w:rsid w:val="380D7019"/>
    <w:rsid w:val="38146091"/>
    <w:rsid w:val="382672ED"/>
    <w:rsid w:val="382A57FB"/>
    <w:rsid w:val="383360CB"/>
    <w:rsid w:val="3839396F"/>
    <w:rsid w:val="384B549F"/>
    <w:rsid w:val="38582F79"/>
    <w:rsid w:val="385F362C"/>
    <w:rsid w:val="386D11D5"/>
    <w:rsid w:val="38711728"/>
    <w:rsid w:val="387A220E"/>
    <w:rsid w:val="388609CB"/>
    <w:rsid w:val="389638E4"/>
    <w:rsid w:val="389D0E1F"/>
    <w:rsid w:val="389F54C9"/>
    <w:rsid w:val="38AF17CD"/>
    <w:rsid w:val="38B07CAE"/>
    <w:rsid w:val="38C32950"/>
    <w:rsid w:val="38C32C12"/>
    <w:rsid w:val="38EC77DB"/>
    <w:rsid w:val="38FA5F47"/>
    <w:rsid w:val="38FB0CC7"/>
    <w:rsid w:val="3906494D"/>
    <w:rsid w:val="39483E1C"/>
    <w:rsid w:val="39610F59"/>
    <w:rsid w:val="39667ED1"/>
    <w:rsid w:val="396A2192"/>
    <w:rsid w:val="396A2D8E"/>
    <w:rsid w:val="39723FCB"/>
    <w:rsid w:val="397A0F71"/>
    <w:rsid w:val="398906BB"/>
    <w:rsid w:val="398F6F3D"/>
    <w:rsid w:val="39A53B21"/>
    <w:rsid w:val="39A938D6"/>
    <w:rsid w:val="39B81506"/>
    <w:rsid w:val="39BB76D4"/>
    <w:rsid w:val="39BC6D37"/>
    <w:rsid w:val="39C27C9F"/>
    <w:rsid w:val="39C657B0"/>
    <w:rsid w:val="39CF21CB"/>
    <w:rsid w:val="39D80D0A"/>
    <w:rsid w:val="39E11406"/>
    <w:rsid w:val="39F25AC0"/>
    <w:rsid w:val="3A1E1F2B"/>
    <w:rsid w:val="3A286DB8"/>
    <w:rsid w:val="3A3409E6"/>
    <w:rsid w:val="3A6813A4"/>
    <w:rsid w:val="3A6C278F"/>
    <w:rsid w:val="3A712B4C"/>
    <w:rsid w:val="3A7C728B"/>
    <w:rsid w:val="3A8E2D26"/>
    <w:rsid w:val="3A935253"/>
    <w:rsid w:val="3A953D2B"/>
    <w:rsid w:val="3A9D26C6"/>
    <w:rsid w:val="3AA318E1"/>
    <w:rsid w:val="3AC65FB5"/>
    <w:rsid w:val="3AD21DDA"/>
    <w:rsid w:val="3AD8222E"/>
    <w:rsid w:val="3AE802B2"/>
    <w:rsid w:val="3AEF79E9"/>
    <w:rsid w:val="3AF91BC5"/>
    <w:rsid w:val="3AFF2BFB"/>
    <w:rsid w:val="3B0D5185"/>
    <w:rsid w:val="3B0F284F"/>
    <w:rsid w:val="3B4927EC"/>
    <w:rsid w:val="3B59471A"/>
    <w:rsid w:val="3B5B7CAA"/>
    <w:rsid w:val="3B5E1194"/>
    <w:rsid w:val="3B5F2E6E"/>
    <w:rsid w:val="3B697B5A"/>
    <w:rsid w:val="3B74754F"/>
    <w:rsid w:val="3B900183"/>
    <w:rsid w:val="3B91300E"/>
    <w:rsid w:val="3B9A669D"/>
    <w:rsid w:val="3B9F3E60"/>
    <w:rsid w:val="3BA0137F"/>
    <w:rsid w:val="3BBB3394"/>
    <w:rsid w:val="3BC817F5"/>
    <w:rsid w:val="3BE2032D"/>
    <w:rsid w:val="3BEB6381"/>
    <w:rsid w:val="3BFC7EEB"/>
    <w:rsid w:val="3BFE16B3"/>
    <w:rsid w:val="3BFF18AA"/>
    <w:rsid w:val="3C011B87"/>
    <w:rsid w:val="3C101AC9"/>
    <w:rsid w:val="3C166E66"/>
    <w:rsid w:val="3C236F1A"/>
    <w:rsid w:val="3C25048C"/>
    <w:rsid w:val="3C4B33AC"/>
    <w:rsid w:val="3C580F29"/>
    <w:rsid w:val="3C6E3E9D"/>
    <w:rsid w:val="3C844E74"/>
    <w:rsid w:val="3C8675D6"/>
    <w:rsid w:val="3CBD7117"/>
    <w:rsid w:val="3CBF74EB"/>
    <w:rsid w:val="3CE35493"/>
    <w:rsid w:val="3CF53858"/>
    <w:rsid w:val="3CFA7AC4"/>
    <w:rsid w:val="3D071444"/>
    <w:rsid w:val="3D1A436F"/>
    <w:rsid w:val="3D1F63EC"/>
    <w:rsid w:val="3D2F1034"/>
    <w:rsid w:val="3D4C0E02"/>
    <w:rsid w:val="3D542B35"/>
    <w:rsid w:val="3D891837"/>
    <w:rsid w:val="3D8B289E"/>
    <w:rsid w:val="3D970F6E"/>
    <w:rsid w:val="3DAE477E"/>
    <w:rsid w:val="3DB2375F"/>
    <w:rsid w:val="3DB275F2"/>
    <w:rsid w:val="3DB72BF1"/>
    <w:rsid w:val="3DCC4904"/>
    <w:rsid w:val="3DD11503"/>
    <w:rsid w:val="3DEF2057"/>
    <w:rsid w:val="3DF041E3"/>
    <w:rsid w:val="3DF8150D"/>
    <w:rsid w:val="3DFA77EE"/>
    <w:rsid w:val="3E076B8B"/>
    <w:rsid w:val="3E1A005F"/>
    <w:rsid w:val="3E2905EB"/>
    <w:rsid w:val="3E2F4BFF"/>
    <w:rsid w:val="3E3937E1"/>
    <w:rsid w:val="3E4143BF"/>
    <w:rsid w:val="3E5F18C1"/>
    <w:rsid w:val="3E671618"/>
    <w:rsid w:val="3E684ABC"/>
    <w:rsid w:val="3E6E168F"/>
    <w:rsid w:val="3EA31EF7"/>
    <w:rsid w:val="3EB303DB"/>
    <w:rsid w:val="3ED01363"/>
    <w:rsid w:val="3ED12E6A"/>
    <w:rsid w:val="3EE64844"/>
    <w:rsid w:val="3EF4265C"/>
    <w:rsid w:val="3EF71CD8"/>
    <w:rsid w:val="3EF82D96"/>
    <w:rsid w:val="3F0B5E32"/>
    <w:rsid w:val="3F0E058D"/>
    <w:rsid w:val="3F1A058C"/>
    <w:rsid w:val="3F5D2314"/>
    <w:rsid w:val="3F717267"/>
    <w:rsid w:val="3F7F6AAA"/>
    <w:rsid w:val="3FA25386"/>
    <w:rsid w:val="3FAD17E5"/>
    <w:rsid w:val="3FB6207B"/>
    <w:rsid w:val="3FB901EC"/>
    <w:rsid w:val="3FBA4B48"/>
    <w:rsid w:val="3FC55D35"/>
    <w:rsid w:val="3FCF7BE8"/>
    <w:rsid w:val="3FDB304A"/>
    <w:rsid w:val="3FE236BD"/>
    <w:rsid w:val="3FE77F13"/>
    <w:rsid w:val="4002669C"/>
    <w:rsid w:val="40126641"/>
    <w:rsid w:val="40245C26"/>
    <w:rsid w:val="403C47B2"/>
    <w:rsid w:val="403F0C74"/>
    <w:rsid w:val="40576EF3"/>
    <w:rsid w:val="407A6C79"/>
    <w:rsid w:val="408D0B74"/>
    <w:rsid w:val="40930B1E"/>
    <w:rsid w:val="40A36B34"/>
    <w:rsid w:val="40C10608"/>
    <w:rsid w:val="40D267C7"/>
    <w:rsid w:val="40D50B8E"/>
    <w:rsid w:val="40E027B2"/>
    <w:rsid w:val="40E4170A"/>
    <w:rsid w:val="40FE115A"/>
    <w:rsid w:val="41072E44"/>
    <w:rsid w:val="411046BA"/>
    <w:rsid w:val="41124AB4"/>
    <w:rsid w:val="411D052B"/>
    <w:rsid w:val="411F5815"/>
    <w:rsid w:val="41247FF7"/>
    <w:rsid w:val="4153750B"/>
    <w:rsid w:val="4157600D"/>
    <w:rsid w:val="41641A5A"/>
    <w:rsid w:val="41764DD7"/>
    <w:rsid w:val="41773BFA"/>
    <w:rsid w:val="41822C02"/>
    <w:rsid w:val="418E0603"/>
    <w:rsid w:val="41B07933"/>
    <w:rsid w:val="41C41BE0"/>
    <w:rsid w:val="41D904B3"/>
    <w:rsid w:val="421E2AEE"/>
    <w:rsid w:val="423376FE"/>
    <w:rsid w:val="423A32AB"/>
    <w:rsid w:val="424521FF"/>
    <w:rsid w:val="424A636C"/>
    <w:rsid w:val="4271506B"/>
    <w:rsid w:val="427B091D"/>
    <w:rsid w:val="42812612"/>
    <w:rsid w:val="42957CA2"/>
    <w:rsid w:val="42C1770C"/>
    <w:rsid w:val="42D713B9"/>
    <w:rsid w:val="42D90369"/>
    <w:rsid w:val="42E939A1"/>
    <w:rsid w:val="43047ED9"/>
    <w:rsid w:val="43117B60"/>
    <w:rsid w:val="432175ED"/>
    <w:rsid w:val="43331D73"/>
    <w:rsid w:val="434E21A6"/>
    <w:rsid w:val="435E62D4"/>
    <w:rsid w:val="43810ACA"/>
    <w:rsid w:val="43820E53"/>
    <w:rsid w:val="438C3D3D"/>
    <w:rsid w:val="43A85321"/>
    <w:rsid w:val="43B66029"/>
    <w:rsid w:val="43E82EC9"/>
    <w:rsid w:val="4428730B"/>
    <w:rsid w:val="44312B63"/>
    <w:rsid w:val="447E6158"/>
    <w:rsid w:val="44810408"/>
    <w:rsid w:val="44835369"/>
    <w:rsid w:val="448C375E"/>
    <w:rsid w:val="44A66E7F"/>
    <w:rsid w:val="44A71FFC"/>
    <w:rsid w:val="44C55676"/>
    <w:rsid w:val="44C8408B"/>
    <w:rsid w:val="44CA1F3B"/>
    <w:rsid w:val="44CE0F20"/>
    <w:rsid w:val="44DB704F"/>
    <w:rsid w:val="44EB0FBA"/>
    <w:rsid w:val="44ED5583"/>
    <w:rsid w:val="45214E00"/>
    <w:rsid w:val="452E2B9B"/>
    <w:rsid w:val="453723CC"/>
    <w:rsid w:val="454170D8"/>
    <w:rsid w:val="454946C7"/>
    <w:rsid w:val="454C5157"/>
    <w:rsid w:val="45557D59"/>
    <w:rsid w:val="455C06C4"/>
    <w:rsid w:val="456D553C"/>
    <w:rsid w:val="458A2E21"/>
    <w:rsid w:val="459424B1"/>
    <w:rsid w:val="45B22008"/>
    <w:rsid w:val="45CD4FB9"/>
    <w:rsid w:val="45D54B85"/>
    <w:rsid w:val="45DA20D1"/>
    <w:rsid w:val="45E665DB"/>
    <w:rsid w:val="45EC1F52"/>
    <w:rsid w:val="45FD6FDA"/>
    <w:rsid w:val="46092024"/>
    <w:rsid w:val="46157C73"/>
    <w:rsid w:val="461D4301"/>
    <w:rsid w:val="461E47DD"/>
    <w:rsid w:val="462211FC"/>
    <w:rsid w:val="46245CFC"/>
    <w:rsid w:val="463165C8"/>
    <w:rsid w:val="46343EA2"/>
    <w:rsid w:val="463B6995"/>
    <w:rsid w:val="4654322B"/>
    <w:rsid w:val="4659101A"/>
    <w:rsid w:val="466E1167"/>
    <w:rsid w:val="46753E39"/>
    <w:rsid w:val="467B5116"/>
    <w:rsid w:val="46831D5F"/>
    <w:rsid w:val="46917C67"/>
    <w:rsid w:val="469A3E66"/>
    <w:rsid w:val="469C52AA"/>
    <w:rsid w:val="46B652E0"/>
    <w:rsid w:val="46BB06A3"/>
    <w:rsid w:val="46CA6B45"/>
    <w:rsid w:val="46D86D02"/>
    <w:rsid w:val="46E01D0A"/>
    <w:rsid w:val="46F2798A"/>
    <w:rsid w:val="46FE3490"/>
    <w:rsid w:val="46FF48BB"/>
    <w:rsid w:val="47217292"/>
    <w:rsid w:val="474D1D10"/>
    <w:rsid w:val="47520A8D"/>
    <w:rsid w:val="47720607"/>
    <w:rsid w:val="47732BF7"/>
    <w:rsid w:val="478511D8"/>
    <w:rsid w:val="478C5594"/>
    <w:rsid w:val="47A1304A"/>
    <w:rsid w:val="47A41835"/>
    <w:rsid w:val="47AD03F9"/>
    <w:rsid w:val="47AF4D2C"/>
    <w:rsid w:val="47C43837"/>
    <w:rsid w:val="47C52D70"/>
    <w:rsid w:val="47CF3FDC"/>
    <w:rsid w:val="47D10B14"/>
    <w:rsid w:val="47E21A99"/>
    <w:rsid w:val="47E34EFC"/>
    <w:rsid w:val="48067D64"/>
    <w:rsid w:val="48085A05"/>
    <w:rsid w:val="483068B2"/>
    <w:rsid w:val="4834656D"/>
    <w:rsid w:val="483D2AD5"/>
    <w:rsid w:val="484D0F78"/>
    <w:rsid w:val="48655E76"/>
    <w:rsid w:val="487772F0"/>
    <w:rsid w:val="4879087E"/>
    <w:rsid w:val="487E7DED"/>
    <w:rsid w:val="48854129"/>
    <w:rsid w:val="48874C2E"/>
    <w:rsid w:val="48897B68"/>
    <w:rsid w:val="4891265D"/>
    <w:rsid w:val="489A503F"/>
    <w:rsid w:val="48AD3A2B"/>
    <w:rsid w:val="48AF0A3C"/>
    <w:rsid w:val="48C36889"/>
    <w:rsid w:val="48CA18C2"/>
    <w:rsid w:val="48D82AA9"/>
    <w:rsid w:val="48DD1363"/>
    <w:rsid w:val="48E14F7C"/>
    <w:rsid w:val="48E53481"/>
    <w:rsid w:val="48E7586D"/>
    <w:rsid w:val="49563E95"/>
    <w:rsid w:val="49681805"/>
    <w:rsid w:val="497D5C18"/>
    <w:rsid w:val="4980520E"/>
    <w:rsid w:val="4981540F"/>
    <w:rsid w:val="498328CE"/>
    <w:rsid w:val="49895ECA"/>
    <w:rsid w:val="49A1479F"/>
    <w:rsid w:val="49A20D68"/>
    <w:rsid w:val="49CA5DB7"/>
    <w:rsid w:val="49CD52AE"/>
    <w:rsid w:val="49D32A3F"/>
    <w:rsid w:val="49E37779"/>
    <w:rsid w:val="49EF0218"/>
    <w:rsid w:val="49F13AB5"/>
    <w:rsid w:val="49F2495F"/>
    <w:rsid w:val="4A0D71EA"/>
    <w:rsid w:val="4A113E42"/>
    <w:rsid w:val="4A397A12"/>
    <w:rsid w:val="4A3B1352"/>
    <w:rsid w:val="4A40569D"/>
    <w:rsid w:val="4A4167A1"/>
    <w:rsid w:val="4A4177A8"/>
    <w:rsid w:val="4A780452"/>
    <w:rsid w:val="4A867AF3"/>
    <w:rsid w:val="4AA51AD0"/>
    <w:rsid w:val="4AA540B4"/>
    <w:rsid w:val="4AB071C5"/>
    <w:rsid w:val="4ACA2A19"/>
    <w:rsid w:val="4AEA2420"/>
    <w:rsid w:val="4AF628B5"/>
    <w:rsid w:val="4B1F30F1"/>
    <w:rsid w:val="4B3647E9"/>
    <w:rsid w:val="4B3B76DB"/>
    <w:rsid w:val="4B3C7D90"/>
    <w:rsid w:val="4B4536C7"/>
    <w:rsid w:val="4B584465"/>
    <w:rsid w:val="4B5C03CD"/>
    <w:rsid w:val="4B692557"/>
    <w:rsid w:val="4B79196A"/>
    <w:rsid w:val="4B796576"/>
    <w:rsid w:val="4B7C69D2"/>
    <w:rsid w:val="4B864504"/>
    <w:rsid w:val="4B93474A"/>
    <w:rsid w:val="4BB06B30"/>
    <w:rsid w:val="4BCD4FBD"/>
    <w:rsid w:val="4BD324AF"/>
    <w:rsid w:val="4BD7612C"/>
    <w:rsid w:val="4BDE4768"/>
    <w:rsid w:val="4BE90560"/>
    <w:rsid w:val="4C13535A"/>
    <w:rsid w:val="4C1B1E60"/>
    <w:rsid w:val="4C255CE4"/>
    <w:rsid w:val="4C581401"/>
    <w:rsid w:val="4C6A47BB"/>
    <w:rsid w:val="4C6F5905"/>
    <w:rsid w:val="4C7D276C"/>
    <w:rsid w:val="4C912879"/>
    <w:rsid w:val="4CA11B4D"/>
    <w:rsid w:val="4CAA0589"/>
    <w:rsid w:val="4CC14144"/>
    <w:rsid w:val="4CD351DC"/>
    <w:rsid w:val="4D0321CB"/>
    <w:rsid w:val="4D0D36F2"/>
    <w:rsid w:val="4D0D3816"/>
    <w:rsid w:val="4D143D6E"/>
    <w:rsid w:val="4D2923CB"/>
    <w:rsid w:val="4D2C1AAF"/>
    <w:rsid w:val="4D3A0C91"/>
    <w:rsid w:val="4D435067"/>
    <w:rsid w:val="4D472053"/>
    <w:rsid w:val="4D473FAC"/>
    <w:rsid w:val="4D490342"/>
    <w:rsid w:val="4D4A6459"/>
    <w:rsid w:val="4D711708"/>
    <w:rsid w:val="4D757391"/>
    <w:rsid w:val="4D8E57E3"/>
    <w:rsid w:val="4D9D012A"/>
    <w:rsid w:val="4DA81253"/>
    <w:rsid w:val="4DBA5938"/>
    <w:rsid w:val="4DC16DBC"/>
    <w:rsid w:val="4DCB467C"/>
    <w:rsid w:val="4DCE6FD1"/>
    <w:rsid w:val="4DDB54E9"/>
    <w:rsid w:val="4DDB6571"/>
    <w:rsid w:val="4DEE1FA3"/>
    <w:rsid w:val="4DF36BDD"/>
    <w:rsid w:val="4E01528B"/>
    <w:rsid w:val="4E122DB5"/>
    <w:rsid w:val="4E1A7D36"/>
    <w:rsid w:val="4E226562"/>
    <w:rsid w:val="4E4A6E2F"/>
    <w:rsid w:val="4E535AAC"/>
    <w:rsid w:val="4E572F5C"/>
    <w:rsid w:val="4E5B0339"/>
    <w:rsid w:val="4E730B24"/>
    <w:rsid w:val="4E8832C2"/>
    <w:rsid w:val="4E9454D4"/>
    <w:rsid w:val="4EBE2682"/>
    <w:rsid w:val="4EC34036"/>
    <w:rsid w:val="4ECC58E3"/>
    <w:rsid w:val="4F0C7935"/>
    <w:rsid w:val="4F16068C"/>
    <w:rsid w:val="4F17107E"/>
    <w:rsid w:val="4F1D45B9"/>
    <w:rsid w:val="4F253008"/>
    <w:rsid w:val="4F2950F8"/>
    <w:rsid w:val="4F335429"/>
    <w:rsid w:val="4F3D00A3"/>
    <w:rsid w:val="4F487EDC"/>
    <w:rsid w:val="4F78399A"/>
    <w:rsid w:val="4FAD1D67"/>
    <w:rsid w:val="4FB57506"/>
    <w:rsid w:val="4FCB75AE"/>
    <w:rsid w:val="4FEA24BC"/>
    <w:rsid w:val="4FF23D4D"/>
    <w:rsid w:val="4FF51081"/>
    <w:rsid w:val="4FF86E9B"/>
    <w:rsid w:val="50025A59"/>
    <w:rsid w:val="500E6FDF"/>
    <w:rsid w:val="50145538"/>
    <w:rsid w:val="501D2F83"/>
    <w:rsid w:val="501E7F4F"/>
    <w:rsid w:val="502621DD"/>
    <w:rsid w:val="502645B2"/>
    <w:rsid w:val="504337FF"/>
    <w:rsid w:val="505316ED"/>
    <w:rsid w:val="50615227"/>
    <w:rsid w:val="50617D46"/>
    <w:rsid w:val="50871311"/>
    <w:rsid w:val="50BF177F"/>
    <w:rsid w:val="50CB4047"/>
    <w:rsid w:val="50CD201F"/>
    <w:rsid w:val="50F61653"/>
    <w:rsid w:val="50F97FFA"/>
    <w:rsid w:val="50FC6E87"/>
    <w:rsid w:val="50FC7F01"/>
    <w:rsid w:val="510573BD"/>
    <w:rsid w:val="512B0849"/>
    <w:rsid w:val="51337A33"/>
    <w:rsid w:val="513D2196"/>
    <w:rsid w:val="51411178"/>
    <w:rsid w:val="514518FD"/>
    <w:rsid w:val="514965B2"/>
    <w:rsid w:val="516775A3"/>
    <w:rsid w:val="51686FB8"/>
    <w:rsid w:val="516E5563"/>
    <w:rsid w:val="51767CA2"/>
    <w:rsid w:val="51BE7BD1"/>
    <w:rsid w:val="51D21CB8"/>
    <w:rsid w:val="51D225B5"/>
    <w:rsid w:val="51D463C5"/>
    <w:rsid w:val="51D47304"/>
    <w:rsid w:val="52152528"/>
    <w:rsid w:val="52163803"/>
    <w:rsid w:val="521D3E42"/>
    <w:rsid w:val="523C445B"/>
    <w:rsid w:val="524C51B7"/>
    <w:rsid w:val="525023F8"/>
    <w:rsid w:val="5254093D"/>
    <w:rsid w:val="5283111D"/>
    <w:rsid w:val="528E4AE8"/>
    <w:rsid w:val="52957CA0"/>
    <w:rsid w:val="52965773"/>
    <w:rsid w:val="52972437"/>
    <w:rsid w:val="529E2F30"/>
    <w:rsid w:val="52BA5334"/>
    <w:rsid w:val="52BC5D10"/>
    <w:rsid w:val="52C37998"/>
    <w:rsid w:val="52CA5281"/>
    <w:rsid w:val="52CF20D7"/>
    <w:rsid w:val="52DC45BF"/>
    <w:rsid w:val="52E21B99"/>
    <w:rsid w:val="52F5768E"/>
    <w:rsid w:val="52FA22A6"/>
    <w:rsid w:val="53027AFA"/>
    <w:rsid w:val="531634DB"/>
    <w:rsid w:val="53182DDC"/>
    <w:rsid w:val="53196759"/>
    <w:rsid w:val="531D4646"/>
    <w:rsid w:val="53280E19"/>
    <w:rsid w:val="532A5F20"/>
    <w:rsid w:val="532C6400"/>
    <w:rsid w:val="532E79C8"/>
    <w:rsid w:val="5331384C"/>
    <w:rsid w:val="53364CC4"/>
    <w:rsid w:val="53377F0B"/>
    <w:rsid w:val="53484013"/>
    <w:rsid w:val="535938BF"/>
    <w:rsid w:val="53833D5D"/>
    <w:rsid w:val="5383435E"/>
    <w:rsid w:val="53F70A70"/>
    <w:rsid w:val="53FE180F"/>
    <w:rsid w:val="5401613A"/>
    <w:rsid w:val="54105225"/>
    <w:rsid w:val="54221A97"/>
    <w:rsid w:val="54237B27"/>
    <w:rsid w:val="543021B2"/>
    <w:rsid w:val="54563E72"/>
    <w:rsid w:val="546F6295"/>
    <w:rsid w:val="54774E60"/>
    <w:rsid w:val="547D69FC"/>
    <w:rsid w:val="5489106E"/>
    <w:rsid w:val="54951F6F"/>
    <w:rsid w:val="549C6131"/>
    <w:rsid w:val="54B32ADE"/>
    <w:rsid w:val="54C2574B"/>
    <w:rsid w:val="54C87D0E"/>
    <w:rsid w:val="54D30710"/>
    <w:rsid w:val="54EC4932"/>
    <w:rsid w:val="54ED6AA1"/>
    <w:rsid w:val="54F146F9"/>
    <w:rsid w:val="55045029"/>
    <w:rsid w:val="550933EA"/>
    <w:rsid w:val="55340E34"/>
    <w:rsid w:val="553A34A7"/>
    <w:rsid w:val="55425C78"/>
    <w:rsid w:val="5543607E"/>
    <w:rsid w:val="5552673D"/>
    <w:rsid w:val="555908D8"/>
    <w:rsid w:val="555D0607"/>
    <w:rsid w:val="55931338"/>
    <w:rsid w:val="55A24816"/>
    <w:rsid w:val="55A8244C"/>
    <w:rsid w:val="55B47481"/>
    <w:rsid w:val="55D2330F"/>
    <w:rsid w:val="55E54B92"/>
    <w:rsid w:val="55EC14C8"/>
    <w:rsid w:val="56076F9E"/>
    <w:rsid w:val="563E069F"/>
    <w:rsid w:val="564604C3"/>
    <w:rsid w:val="56774A26"/>
    <w:rsid w:val="56786780"/>
    <w:rsid w:val="569A3369"/>
    <w:rsid w:val="569B6AAF"/>
    <w:rsid w:val="56A077A4"/>
    <w:rsid w:val="56A25155"/>
    <w:rsid w:val="56A40DE0"/>
    <w:rsid w:val="56A82E1B"/>
    <w:rsid w:val="56AF14B2"/>
    <w:rsid w:val="56DB48F9"/>
    <w:rsid w:val="56DC0F14"/>
    <w:rsid w:val="56DF0EB7"/>
    <w:rsid w:val="56E824DB"/>
    <w:rsid w:val="56F4621F"/>
    <w:rsid w:val="56F96327"/>
    <w:rsid w:val="57190092"/>
    <w:rsid w:val="571A1FA2"/>
    <w:rsid w:val="573A1D65"/>
    <w:rsid w:val="57561DAD"/>
    <w:rsid w:val="5764216D"/>
    <w:rsid w:val="579430AF"/>
    <w:rsid w:val="579F6859"/>
    <w:rsid w:val="57A20B45"/>
    <w:rsid w:val="57B44E2E"/>
    <w:rsid w:val="58102787"/>
    <w:rsid w:val="581129A0"/>
    <w:rsid w:val="581C062C"/>
    <w:rsid w:val="58201C21"/>
    <w:rsid w:val="58437186"/>
    <w:rsid w:val="584E240B"/>
    <w:rsid w:val="585235AA"/>
    <w:rsid w:val="58537846"/>
    <w:rsid w:val="585418A0"/>
    <w:rsid w:val="585E467C"/>
    <w:rsid w:val="58706086"/>
    <w:rsid w:val="587E5D96"/>
    <w:rsid w:val="58866B0F"/>
    <w:rsid w:val="5888229F"/>
    <w:rsid w:val="58921E5D"/>
    <w:rsid w:val="58AF081C"/>
    <w:rsid w:val="58BB04FE"/>
    <w:rsid w:val="58BC6C04"/>
    <w:rsid w:val="58DC2F6A"/>
    <w:rsid w:val="58DE2E3A"/>
    <w:rsid w:val="58E21A66"/>
    <w:rsid w:val="58F367C5"/>
    <w:rsid w:val="5914141D"/>
    <w:rsid w:val="59196CE7"/>
    <w:rsid w:val="591B75CD"/>
    <w:rsid w:val="5922692A"/>
    <w:rsid w:val="59401335"/>
    <w:rsid w:val="594B4A87"/>
    <w:rsid w:val="594B53F0"/>
    <w:rsid w:val="597A0CAD"/>
    <w:rsid w:val="599F40D8"/>
    <w:rsid w:val="59A612E2"/>
    <w:rsid w:val="59A743F6"/>
    <w:rsid w:val="59C12817"/>
    <w:rsid w:val="59D13740"/>
    <w:rsid w:val="59D44F4F"/>
    <w:rsid w:val="59EE19EE"/>
    <w:rsid w:val="5A060AF4"/>
    <w:rsid w:val="5A1F20BB"/>
    <w:rsid w:val="5A4941B8"/>
    <w:rsid w:val="5AA90C58"/>
    <w:rsid w:val="5ABA2A4F"/>
    <w:rsid w:val="5AE31983"/>
    <w:rsid w:val="5AF2096D"/>
    <w:rsid w:val="5B1258BB"/>
    <w:rsid w:val="5B21428C"/>
    <w:rsid w:val="5B4F333F"/>
    <w:rsid w:val="5B5267D9"/>
    <w:rsid w:val="5B66739C"/>
    <w:rsid w:val="5B6A3A32"/>
    <w:rsid w:val="5B70659A"/>
    <w:rsid w:val="5B85660A"/>
    <w:rsid w:val="5BB41121"/>
    <w:rsid w:val="5BBB3DF0"/>
    <w:rsid w:val="5BC84CA9"/>
    <w:rsid w:val="5BE463C0"/>
    <w:rsid w:val="5BF00841"/>
    <w:rsid w:val="5BF10278"/>
    <w:rsid w:val="5C170AE5"/>
    <w:rsid w:val="5C235A85"/>
    <w:rsid w:val="5C3765FB"/>
    <w:rsid w:val="5C3A120A"/>
    <w:rsid w:val="5C3E40E5"/>
    <w:rsid w:val="5C456923"/>
    <w:rsid w:val="5C4655D6"/>
    <w:rsid w:val="5C604FD9"/>
    <w:rsid w:val="5C663BEF"/>
    <w:rsid w:val="5C670EA1"/>
    <w:rsid w:val="5C69046E"/>
    <w:rsid w:val="5C757187"/>
    <w:rsid w:val="5C781B43"/>
    <w:rsid w:val="5C843A90"/>
    <w:rsid w:val="5C8465A7"/>
    <w:rsid w:val="5C962F26"/>
    <w:rsid w:val="5CB43B39"/>
    <w:rsid w:val="5CB5606A"/>
    <w:rsid w:val="5CBB1DEF"/>
    <w:rsid w:val="5CBB205F"/>
    <w:rsid w:val="5CC009B7"/>
    <w:rsid w:val="5CC5773F"/>
    <w:rsid w:val="5CD0261F"/>
    <w:rsid w:val="5CD86325"/>
    <w:rsid w:val="5CE0043A"/>
    <w:rsid w:val="5CE1215D"/>
    <w:rsid w:val="5CE71201"/>
    <w:rsid w:val="5CEF2DA4"/>
    <w:rsid w:val="5D0A2550"/>
    <w:rsid w:val="5D15662E"/>
    <w:rsid w:val="5D7878F7"/>
    <w:rsid w:val="5D854110"/>
    <w:rsid w:val="5D9A1AA8"/>
    <w:rsid w:val="5D9F3951"/>
    <w:rsid w:val="5DAA5045"/>
    <w:rsid w:val="5DAC096B"/>
    <w:rsid w:val="5DAD5B3D"/>
    <w:rsid w:val="5DB02A37"/>
    <w:rsid w:val="5DB61B7E"/>
    <w:rsid w:val="5DC0541D"/>
    <w:rsid w:val="5DD67773"/>
    <w:rsid w:val="5DE024D8"/>
    <w:rsid w:val="5DEA695B"/>
    <w:rsid w:val="5DF9580E"/>
    <w:rsid w:val="5E094F84"/>
    <w:rsid w:val="5E0C34EA"/>
    <w:rsid w:val="5E2E5D1F"/>
    <w:rsid w:val="5E46154A"/>
    <w:rsid w:val="5E4914A4"/>
    <w:rsid w:val="5E512557"/>
    <w:rsid w:val="5E570306"/>
    <w:rsid w:val="5E5F4129"/>
    <w:rsid w:val="5E6645D2"/>
    <w:rsid w:val="5E886829"/>
    <w:rsid w:val="5E911EE7"/>
    <w:rsid w:val="5E947610"/>
    <w:rsid w:val="5EA24868"/>
    <w:rsid w:val="5EAF1E8F"/>
    <w:rsid w:val="5EB340F0"/>
    <w:rsid w:val="5EBA2679"/>
    <w:rsid w:val="5EBB57FB"/>
    <w:rsid w:val="5EE97A0F"/>
    <w:rsid w:val="5EFA7E77"/>
    <w:rsid w:val="5F094B29"/>
    <w:rsid w:val="5F1D4190"/>
    <w:rsid w:val="5F1E6804"/>
    <w:rsid w:val="5F22303C"/>
    <w:rsid w:val="5F2411B5"/>
    <w:rsid w:val="5F3E4499"/>
    <w:rsid w:val="5F430CB0"/>
    <w:rsid w:val="5F4823EB"/>
    <w:rsid w:val="5F525B13"/>
    <w:rsid w:val="5F60389D"/>
    <w:rsid w:val="5F64236C"/>
    <w:rsid w:val="5F715169"/>
    <w:rsid w:val="5F76448A"/>
    <w:rsid w:val="5F78453B"/>
    <w:rsid w:val="5F821B3B"/>
    <w:rsid w:val="5F8C0C29"/>
    <w:rsid w:val="5F9C7A35"/>
    <w:rsid w:val="5FA04AEC"/>
    <w:rsid w:val="5FB04934"/>
    <w:rsid w:val="5FBA04EB"/>
    <w:rsid w:val="5FBA704A"/>
    <w:rsid w:val="5FDA3B47"/>
    <w:rsid w:val="5FE8475B"/>
    <w:rsid w:val="601953EE"/>
    <w:rsid w:val="60595C42"/>
    <w:rsid w:val="609358EE"/>
    <w:rsid w:val="609C74E0"/>
    <w:rsid w:val="60B83C29"/>
    <w:rsid w:val="60C93803"/>
    <w:rsid w:val="60CE4563"/>
    <w:rsid w:val="60D21977"/>
    <w:rsid w:val="60D51CF5"/>
    <w:rsid w:val="60E777E6"/>
    <w:rsid w:val="60F31815"/>
    <w:rsid w:val="60FB1350"/>
    <w:rsid w:val="61054635"/>
    <w:rsid w:val="61083A6F"/>
    <w:rsid w:val="610C4D98"/>
    <w:rsid w:val="61134082"/>
    <w:rsid w:val="61271787"/>
    <w:rsid w:val="61293C58"/>
    <w:rsid w:val="612E5BF3"/>
    <w:rsid w:val="614B4293"/>
    <w:rsid w:val="61633C7C"/>
    <w:rsid w:val="6169352D"/>
    <w:rsid w:val="617743C1"/>
    <w:rsid w:val="617C3136"/>
    <w:rsid w:val="617E150A"/>
    <w:rsid w:val="6181277E"/>
    <w:rsid w:val="61920608"/>
    <w:rsid w:val="61A751E9"/>
    <w:rsid w:val="61AA0556"/>
    <w:rsid w:val="61CF2D28"/>
    <w:rsid w:val="61DF57CC"/>
    <w:rsid w:val="61E42A72"/>
    <w:rsid w:val="61F80373"/>
    <w:rsid w:val="61F87810"/>
    <w:rsid w:val="61FD779F"/>
    <w:rsid w:val="62003B61"/>
    <w:rsid w:val="62027614"/>
    <w:rsid w:val="62054BED"/>
    <w:rsid w:val="62194DCE"/>
    <w:rsid w:val="622332FC"/>
    <w:rsid w:val="62297045"/>
    <w:rsid w:val="622B17CA"/>
    <w:rsid w:val="62335308"/>
    <w:rsid w:val="625F355C"/>
    <w:rsid w:val="627E4123"/>
    <w:rsid w:val="62847C43"/>
    <w:rsid w:val="62AA51B3"/>
    <w:rsid w:val="62AD1579"/>
    <w:rsid w:val="62AE5515"/>
    <w:rsid w:val="62B0024D"/>
    <w:rsid w:val="62D02DDC"/>
    <w:rsid w:val="62E417A1"/>
    <w:rsid w:val="62E908BF"/>
    <w:rsid w:val="63247269"/>
    <w:rsid w:val="6333211D"/>
    <w:rsid w:val="63390BBE"/>
    <w:rsid w:val="6345547B"/>
    <w:rsid w:val="63500598"/>
    <w:rsid w:val="636624E3"/>
    <w:rsid w:val="637C2CF8"/>
    <w:rsid w:val="63A4572C"/>
    <w:rsid w:val="63A75769"/>
    <w:rsid w:val="63AC2375"/>
    <w:rsid w:val="63D32DF1"/>
    <w:rsid w:val="63E00A07"/>
    <w:rsid w:val="640539E4"/>
    <w:rsid w:val="64305BC0"/>
    <w:rsid w:val="643B0792"/>
    <w:rsid w:val="643D3B64"/>
    <w:rsid w:val="645355FC"/>
    <w:rsid w:val="64687486"/>
    <w:rsid w:val="646D30E2"/>
    <w:rsid w:val="64726B8D"/>
    <w:rsid w:val="64755685"/>
    <w:rsid w:val="647C0D8C"/>
    <w:rsid w:val="64840330"/>
    <w:rsid w:val="64864B9F"/>
    <w:rsid w:val="64932B7F"/>
    <w:rsid w:val="64957000"/>
    <w:rsid w:val="64A36DCA"/>
    <w:rsid w:val="64A47BFE"/>
    <w:rsid w:val="64BC30D4"/>
    <w:rsid w:val="64C61729"/>
    <w:rsid w:val="64CF1053"/>
    <w:rsid w:val="64D0261E"/>
    <w:rsid w:val="64E24FF3"/>
    <w:rsid w:val="64E50CEB"/>
    <w:rsid w:val="64E94DCC"/>
    <w:rsid w:val="64ED6458"/>
    <w:rsid w:val="64F634A2"/>
    <w:rsid w:val="64FD5A31"/>
    <w:rsid w:val="64FF7845"/>
    <w:rsid w:val="650F60BA"/>
    <w:rsid w:val="65106894"/>
    <w:rsid w:val="65162669"/>
    <w:rsid w:val="6518511B"/>
    <w:rsid w:val="651C780F"/>
    <w:rsid w:val="651F5631"/>
    <w:rsid w:val="65322547"/>
    <w:rsid w:val="653C022F"/>
    <w:rsid w:val="653C0E13"/>
    <w:rsid w:val="65405866"/>
    <w:rsid w:val="654B3013"/>
    <w:rsid w:val="65905F7D"/>
    <w:rsid w:val="65910518"/>
    <w:rsid w:val="65A37EB1"/>
    <w:rsid w:val="65BC3E80"/>
    <w:rsid w:val="65BE0B67"/>
    <w:rsid w:val="65DD040A"/>
    <w:rsid w:val="65E87890"/>
    <w:rsid w:val="661303B4"/>
    <w:rsid w:val="66131BAE"/>
    <w:rsid w:val="6623181D"/>
    <w:rsid w:val="662405EF"/>
    <w:rsid w:val="662A1DF8"/>
    <w:rsid w:val="66365505"/>
    <w:rsid w:val="664C1067"/>
    <w:rsid w:val="665211EF"/>
    <w:rsid w:val="66574F5E"/>
    <w:rsid w:val="665A1862"/>
    <w:rsid w:val="66787156"/>
    <w:rsid w:val="668137B4"/>
    <w:rsid w:val="66850C94"/>
    <w:rsid w:val="669A17E0"/>
    <w:rsid w:val="66A86DEB"/>
    <w:rsid w:val="66B448CE"/>
    <w:rsid w:val="66D23BC2"/>
    <w:rsid w:val="66DB79FE"/>
    <w:rsid w:val="66E74D4D"/>
    <w:rsid w:val="66ED5081"/>
    <w:rsid w:val="671F0398"/>
    <w:rsid w:val="67280BE0"/>
    <w:rsid w:val="672A4DD9"/>
    <w:rsid w:val="672E5CBF"/>
    <w:rsid w:val="673845BA"/>
    <w:rsid w:val="6748330C"/>
    <w:rsid w:val="67542489"/>
    <w:rsid w:val="6761698E"/>
    <w:rsid w:val="6764188A"/>
    <w:rsid w:val="67642EA1"/>
    <w:rsid w:val="6787390A"/>
    <w:rsid w:val="67A2537B"/>
    <w:rsid w:val="67B35DB9"/>
    <w:rsid w:val="67BD1F3E"/>
    <w:rsid w:val="67C4628A"/>
    <w:rsid w:val="67D107A7"/>
    <w:rsid w:val="67D37D37"/>
    <w:rsid w:val="67E36567"/>
    <w:rsid w:val="67EF5042"/>
    <w:rsid w:val="680F77DD"/>
    <w:rsid w:val="68195315"/>
    <w:rsid w:val="687D0C6A"/>
    <w:rsid w:val="687E222B"/>
    <w:rsid w:val="68A25063"/>
    <w:rsid w:val="68A43362"/>
    <w:rsid w:val="68B95F70"/>
    <w:rsid w:val="68C46E5C"/>
    <w:rsid w:val="68CC263C"/>
    <w:rsid w:val="68CC72DA"/>
    <w:rsid w:val="68CF1BFC"/>
    <w:rsid w:val="69080F37"/>
    <w:rsid w:val="691E219F"/>
    <w:rsid w:val="6935239B"/>
    <w:rsid w:val="69397650"/>
    <w:rsid w:val="69417C05"/>
    <w:rsid w:val="695B3F9C"/>
    <w:rsid w:val="69655775"/>
    <w:rsid w:val="697056F0"/>
    <w:rsid w:val="69745676"/>
    <w:rsid w:val="69782884"/>
    <w:rsid w:val="697A1FEC"/>
    <w:rsid w:val="697B5C94"/>
    <w:rsid w:val="698C3759"/>
    <w:rsid w:val="69933E70"/>
    <w:rsid w:val="69B01F2B"/>
    <w:rsid w:val="69B73E86"/>
    <w:rsid w:val="6A004347"/>
    <w:rsid w:val="6A1E21E1"/>
    <w:rsid w:val="6A3610B0"/>
    <w:rsid w:val="6A4B0635"/>
    <w:rsid w:val="6A4F56A9"/>
    <w:rsid w:val="6A501502"/>
    <w:rsid w:val="6A673063"/>
    <w:rsid w:val="6A7F287F"/>
    <w:rsid w:val="6A852F98"/>
    <w:rsid w:val="6A903122"/>
    <w:rsid w:val="6A951D56"/>
    <w:rsid w:val="6A984A4C"/>
    <w:rsid w:val="6A9C31A6"/>
    <w:rsid w:val="6AA862C6"/>
    <w:rsid w:val="6AAE3F23"/>
    <w:rsid w:val="6AB4038A"/>
    <w:rsid w:val="6ABD4D3E"/>
    <w:rsid w:val="6ACA7701"/>
    <w:rsid w:val="6ADB16F8"/>
    <w:rsid w:val="6AF30D76"/>
    <w:rsid w:val="6AF633CB"/>
    <w:rsid w:val="6AF67935"/>
    <w:rsid w:val="6AF734D6"/>
    <w:rsid w:val="6AF7413D"/>
    <w:rsid w:val="6B171731"/>
    <w:rsid w:val="6B242107"/>
    <w:rsid w:val="6B35665D"/>
    <w:rsid w:val="6B3B5BDE"/>
    <w:rsid w:val="6B3D44F5"/>
    <w:rsid w:val="6B5B7BEA"/>
    <w:rsid w:val="6B613E4F"/>
    <w:rsid w:val="6B8C1DB6"/>
    <w:rsid w:val="6B8C26E7"/>
    <w:rsid w:val="6B9A2EC3"/>
    <w:rsid w:val="6BC55ACB"/>
    <w:rsid w:val="6BDD4063"/>
    <w:rsid w:val="6BFB6323"/>
    <w:rsid w:val="6C0D6FBC"/>
    <w:rsid w:val="6C1D0A05"/>
    <w:rsid w:val="6C387C5A"/>
    <w:rsid w:val="6C432B0F"/>
    <w:rsid w:val="6C46567A"/>
    <w:rsid w:val="6C5F0846"/>
    <w:rsid w:val="6C6C0C65"/>
    <w:rsid w:val="6C8C398E"/>
    <w:rsid w:val="6CA85730"/>
    <w:rsid w:val="6CB71391"/>
    <w:rsid w:val="6CD45B69"/>
    <w:rsid w:val="6CD80A3E"/>
    <w:rsid w:val="6CE70F1E"/>
    <w:rsid w:val="6CF033CC"/>
    <w:rsid w:val="6CF405C6"/>
    <w:rsid w:val="6CFB54BF"/>
    <w:rsid w:val="6D0751D7"/>
    <w:rsid w:val="6D0862BD"/>
    <w:rsid w:val="6D551D91"/>
    <w:rsid w:val="6D5D3877"/>
    <w:rsid w:val="6D5E1570"/>
    <w:rsid w:val="6D641661"/>
    <w:rsid w:val="6D89511C"/>
    <w:rsid w:val="6D8C3831"/>
    <w:rsid w:val="6D941256"/>
    <w:rsid w:val="6DA23351"/>
    <w:rsid w:val="6DB07236"/>
    <w:rsid w:val="6DB7550F"/>
    <w:rsid w:val="6DD035D7"/>
    <w:rsid w:val="6DEC00B6"/>
    <w:rsid w:val="6DEF2780"/>
    <w:rsid w:val="6DFF5CCC"/>
    <w:rsid w:val="6E24272D"/>
    <w:rsid w:val="6E5F241D"/>
    <w:rsid w:val="6E662684"/>
    <w:rsid w:val="6E7272E6"/>
    <w:rsid w:val="6E75489A"/>
    <w:rsid w:val="6E96462C"/>
    <w:rsid w:val="6E993631"/>
    <w:rsid w:val="6ECB6722"/>
    <w:rsid w:val="6ECE7D8A"/>
    <w:rsid w:val="6ED145DE"/>
    <w:rsid w:val="6EDB6564"/>
    <w:rsid w:val="6EE815FE"/>
    <w:rsid w:val="6EEB6F3F"/>
    <w:rsid w:val="6EF02DFC"/>
    <w:rsid w:val="6F0F3D7B"/>
    <w:rsid w:val="6F235246"/>
    <w:rsid w:val="6F266ACD"/>
    <w:rsid w:val="6F487352"/>
    <w:rsid w:val="6F5263A5"/>
    <w:rsid w:val="6F8F154D"/>
    <w:rsid w:val="6F986BB9"/>
    <w:rsid w:val="6F9D5A45"/>
    <w:rsid w:val="6FAE04DC"/>
    <w:rsid w:val="6FB24F60"/>
    <w:rsid w:val="6FB25A21"/>
    <w:rsid w:val="6FDD027E"/>
    <w:rsid w:val="6FE815C6"/>
    <w:rsid w:val="6FE95741"/>
    <w:rsid w:val="6FF51675"/>
    <w:rsid w:val="700D6A5C"/>
    <w:rsid w:val="70147B93"/>
    <w:rsid w:val="70150F75"/>
    <w:rsid w:val="70525B4B"/>
    <w:rsid w:val="705D777B"/>
    <w:rsid w:val="706B5D2A"/>
    <w:rsid w:val="7077365A"/>
    <w:rsid w:val="707A2FCB"/>
    <w:rsid w:val="709E609D"/>
    <w:rsid w:val="70AB74DD"/>
    <w:rsid w:val="70BD2096"/>
    <w:rsid w:val="70BD67E1"/>
    <w:rsid w:val="70D62290"/>
    <w:rsid w:val="70DE41C5"/>
    <w:rsid w:val="70E25F49"/>
    <w:rsid w:val="70EB48B4"/>
    <w:rsid w:val="70F96959"/>
    <w:rsid w:val="710354C1"/>
    <w:rsid w:val="711442A0"/>
    <w:rsid w:val="71236800"/>
    <w:rsid w:val="71310931"/>
    <w:rsid w:val="713B26AA"/>
    <w:rsid w:val="71447AD1"/>
    <w:rsid w:val="714F2F99"/>
    <w:rsid w:val="715F221D"/>
    <w:rsid w:val="71670F50"/>
    <w:rsid w:val="716960D1"/>
    <w:rsid w:val="71891F49"/>
    <w:rsid w:val="71940C04"/>
    <w:rsid w:val="71AD55F5"/>
    <w:rsid w:val="71C7429C"/>
    <w:rsid w:val="71D76FB9"/>
    <w:rsid w:val="71E2158D"/>
    <w:rsid w:val="71EB1E2F"/>
    <w:rsid w:val="72007005"/>
    <w:rsid w:val="720E6E8B"/>
    <w:rsid w:val="72162798"/>
    <w:rsid w:val="72352B50"/>
    <w:rsid w:val="72540F5F"/>
    <w:rsid w:val="7255236D"/>
    <w:rsid w:val="72696993"/>
    <w:rsid w:val="72746EF8"/>
    <w:rsid w:val="72765831"/>
    <w:rsid w:val="729F17F4"/>
    <w:rsid w:val="72A55399"/>
    <w:rsid w:val="72AB72F3"/>
    <w:rsid w:val="72B36DD3"/>
    <w:rsid w:val="72B70EC9"/>
    <w:rsid w:val="72BE1115"/>
    <w:rsid w:val="72CD3BAA"/>
    <w:rsid w:val="72D421B0"/>
    <w:rsid w:val="72DE7C85"/>
    <w:rsid w:val="72FA10C2"/>
    <w:rsid w:val="7307383B"/>
    <w:rsid w:val="730B5F84"/>
    <w:rsid w:val="731B34EF"/>
    <w:rsid w:val="731E7DCC"/>
    <w:rsid w:val="73232519"/>
    <w:rsid w:val="735176E5"/>
    <w:rsid w:val="73553065"/>
    <w:rsid w:val="73701FC3"/>
    <w:rsid w:val="737064FA"/>
    <w:rsid w:val="73780598"/>
    <w:rsid w:val="73847CA4"/>
    <w:rsid w:val="73973393"/>
    <w:rsid w:val="739A7DCF"/>
    <w:rsid w:val="73B062A7"/>
    <w:rsid w:val="73BA15FF"/>
    <w:rsid w:val="73D344C6"/>
    <w:rsid w:val="73F02C39"/>
    <w:rsid w:val="7403048D"/>
    <w:rsid w:val="741E2A97"/>
    <w:rsid w:val="741F44E7"/>
    <w:rsid w:val="74252F48"/>
    <w:rsid w:val="74497CFF"/>
    <w:rsid w:val="74566E2D"/>
    <w:rsid w:val="74713329"/>
    <w:rsid w:val="74A051CB"/>
    <w:rsid w:val="74A4560B"/>
    <w:rsid w:val="74A53BD0"/>
    <w:rsid w:val="74C347FB"/>
    <w:rsid w:val="74EC5FE0"/>
    <w:rsid w:val="74F517A7"/>
    <w:rsid w:val="752A132F"/>
    <w:rsid w:val="753830BB"/>
    <w:rsid w:val="753C3C71"/>
    <w:rsid w:val="756264C6"/>
    <w:rsid w:val="75664B86"/>
    <w:rsid w:val="75892867"/>
    <w:rsid w:val="758E74B8"/>
    <w:rsid w:val="75966B6E"/>
    <w:rsid w:val="759D5067"/>
    <w:rsid w:val="75AE23F1"/>
    <w:rsid w:val="75BC7923"/>
    <w:rsid w:val="75C92865"/>
    <w:rsid w:val="75CA4C95"/>
    <w:rsid w:val="75D07B22"/>
    <w:rsid w:val="75D33DB1"/>
    <w:rsid w:val="75D63CB0"/>
    <w:rsid w:val="75DC32E1"/>
    <w:rsid w:val="75DF529B"/>
    <w:rsid w:val="76131726"/>
    <w:rsid w:val="76206334"/>
    <w:rsid w:val="762C4C37"/>
    <w:rsid w:val="763554C1"/>
    <w:rsid w:val="7643795D"/>
    <w:rsid w:val="764D2416"/>
    <w:rsid w:val="76A2531E"/>
    <w:rsid w:val="76AF45DC"/>
    <w:rsid w:val="76B2517E"/>
    <w:rsid w:val="76B315E3"/>
    <w:rsid w:val="76D709DB"/>
    <w:rsid w:val="76D818F1"/>
    <w:rsid w:val="76E609F4"/>
    <w:rsid w:val="76FF39EE"/>
    <w:rsid w:val="7707635B"/>
    <w:rsid w:val="77134A47"/>
    <w:rsid w:val="77144004"/>
    <w:rsid w:val="771A077D"/>
    <w:rsid w:val="771C1B68"/>
    <w:rsid w:val="77246047"/>
    <w:rsid w:val="77253E20"/>
    <w:rsid w:val="77254B13"/>
    <w:rsid w:val="772567CE"/>
    <w:rsid w:val="775F3FA4"/>
    <w:rsid w:val="77626903"/>
    <w:rsid w:val="776B7855"/>
    <w:rsid w:val="77732331"/>
    <w:rsid w:val="77816FC4"/>
    <w:rsid w:val="7784279C"/>
    <w:rsid w:val="778A45B3"/>
    <w:rsid w:val="778F5AB1"/>
    <w:rsid w:val="77986BCD"/>
    <w:rsid w:val="77B0759F"/>
    <w:rsid w:val="77CD3A2C"/>
    <w:rsid w:val="77D012B3"/>
    <w:rsid w:val="77D70986"/>
    <w:rsid w:val="77ED5043"/>
    <w:rsid w:val="77F84A44"/>
    <w:rsid w:val="77FC4BD3"/>
    <w:rsid w:val="78182167"/>
    <w:rsid w:val="78187743"/>
    <w:rsid w:val="7839281C"/>
    <w:rsid w:val="786E5D62"/>
    <w:rsid w:val="786F13F6"/>
    <w:rsid w:val="78834972"/>
    <w:rsid w:val="78980337"/>
    <w:rsid w:val="789D54A1"/>
    <w:rsid w:val="789F3B84"/>
    <w:rsid w:val="78AA223D"/>
    <w:rsid w:val="78C15132"/>
    <w:rsid w:val="78C364BA"/>
    <w:rsid w:val="78C42ADD"/>
    <w:rsid w:val="78D42603"/>
    <w:rsid w:val="78D555FD"/>
    <w:rsid w:val="78E97011"/>
    <w:rsid w:val="78EA5F70"/>
    <w:rsid w:val="78F17245"/>
    <w:rsid w:val="78FE208A"/>
    <w:rsid w:val="790240D4"/>
    <w:rsid w:val="790804F7"/>
    <w:rsid w:val="79285642"/>
    <w:rsid w:val="79377615"/>
    <w:rsid w:val="793A3FD5"/>
    <w:rsid w:val="79477773"/>
    <w:rsid w:val="795119E3"/>
    <w:rsid w:val="795F17C3"/>
    <w:rsid w:val="796B0FD6"/>
    <w:rsid w:val="79771773"/>
    <w:rsid w:val="797A75A0"/>
    <w:rsid w:val="797C124E"/>
    <w:rsid w:val="79896C3E"/>
    <w:rsid w:val="799E7CFA"/>
    <w:rsid w:val="79A1220C"/>
    <w:rsid w:val="79D26849"/>
    <w:rsid w:val="79EF0CC4"/>
    <w:rsid w:val="7A034DD2"/>
    <w:rsid w:val="7A035F6D"/>
    <w:rsid w:val="7A523947"/>
    <w:rsid w:val="7A550CA1"/>
    <w:rsid w:val="7A5E2B52"/>
    <w:rsid w:val="7A732DC7"/>
    <w:rsid w:val="7A7A6C5D"/>
    <w:rsid w:val="7A812E2E"/>
    <w:rsid w:val="7A947285"/>
    <w:rsid w:val="7A9F1D65"/>
    <w:rsid w:val="7ABC0016"/>
    <w:rsid w:val="7AC11D18"/>
    <w:rsid w:val="7AD4065B"/>
    <w:rsid w:val="7AD67071"/>
    <w:rsid w:val="7AF07660"/>
    <w:rsid w:val="7AFE5D32"/>
    <w:rsid w:val="7AFE79E9"/>
    <w:rsid w:val="7B074B60"/>
    <w:rsid w:val="7B0D5B1E"/>
    <w:rsid w:val="7B0E5254"/>
    <w:rsid w:val="7B224C4A"/>
    <w:rsid w:val="7B2724A4"/>
    <w:rsid w:val="7B377D68"/>
    <w:rsid w:val="7B437782"/>
    <w:rsid w:val="7B550584"/>
    <w:rsid w:val="7B596406"/>
    <w:rsid w:val="7B5E2644"/>
    <w:rsid w:val="7B6B3508"/>
    <w:rsid w:val="7B78124B"/>
    <w:rsid w:val="7B9254AD"/>
    <w:rsid w:val="7BB34F21"/>
    <w:rsid w:val="7BB46C11"/>
    <w:rsid w:val="7BDC7FD3"/>
    <w:rsid w:val="7BF01D0A"/>
    <w:rsid w:val="7BF05821"/>
    <w:rsid w:val="7BF1671B"/>
    <w:rsid w:val="7BFB7B63"/>
    <w:rsid w:val="7C0561A3"/>
    <w:rsid w:val="7C0C7B05"/>
    <w:rsid w:val="7C0E4D35"/>
    <w:rsid w:val="7C1D1CAD"/>
    <w:rsid w:val="7C2C7B49"/>
    <w:rsid w:val="7C4400C7"/>
    <w:rsid w:val="7C7A61A5"/>
    <w:rsid w:val="7C7B5DDA"/>
    <w:rsid w:val="7C7C7FEF"/>
    <w:rsid w:val="7C8146A5"/>
    <w:rsid w:val="7CA64D89"/>
    <w:rsid w:val="7CB83738"/>
    <w:rsid w:val="7CBD11EA"/>
    <w:rsid w:val="7CC77FC8"/>
    <w:rsid w:val="7CE9775F"/>
    <w:rsid w:val="7CF2749F"/>
    <w:rsid w:val="7CF7006B"/>
    <w:rsid w:val="7D153176"/>
    <w:rsid w:val="7D366F50"/>
    <w:rsid w:val="7D51109B"/>
    <w:rsid w:val="7D627354"/>
    <w:rsid w:val="7D791ECA"/>
    <w:rsid w:val="7D873E15"/>
    <w:rsid w:val="7D8877DB"/>
    <w:rsid w:val="7D897955"/>
    <w:rsid w:val="7D9F1CEA"/>
    <w:rsid w:val="7DA14982"/>
    <w:rsid w:val="7DA46200"/>
    <w:rsid w:val="7DA6324A"/>
    <w:rsid w:val="7DB06B45"/>
    <w:rsid w:val="7DB527CF"/>
    <w:rsid w:val="7DB852FF"/>
    <w:rsid w:val="7DD91C71"/>
    <w:rsid w:val="7DF77BD0"/>
    <w:rsid w:val="7E566E07"/>
    <w:rsid w:val="7E70487B"/>
    <w:rsid w:val="7E7A4EAA"/>
    <w:rsid w:val="7E7E2D25"/>
    <w:rsid w:val="7E801EA1"/>
    <w:rsid w:val="7E831AA3"/>
    <w:rsid w:val="7E895342"/>
    <w:rsid w:val="7E8B7080"/>
    <w:rsid w:val="7EA946BF"/>
    <w:rsid w:val="7EAB1F11"/>
    <w:rsid w:val="7EC761FE"/>
    <w:rsid w:val="7ED521BB"/>
    <w:rsid w:val="7ED6106E"/>
    <w:rsid w:val="7ED84CB5"/>
    <w:rsid w:val="7EE74FA0"/>
    <w:rsid w:val="7EE930A2"/>
    <w:rsid w:val="7EFB3833"/>
    <w:rsid w:val="7EFF0552"/>
    <w:rsid w:val="7F184914"/>
    <w:rsid w:val="7F247CF6"/>
    <w:rsid w:val="7F360047"/>
    <w:rsid w:val="7F5E0DDD"/>
    <w:rsid w:val="7F603CD4"/>
    <w:rsid w:val="7F747415"/>
    <w:rsid w:val="7F755AE4"/>
    <w:rsid w:val="7F84647F"/>
    <w:rsid w:val="7F8F1106"/>
    <w:rsid w:val="7F9C6252"/>
    <w:rsid w:val="7FA4300E"/>
    <w:rsid w:val="7FAC7E36"/>
    <w:rsid w:val="7FB50740"/>
    <w:rsid w:val="7FC330FF"/>
    <w:rsid w:val="7FC701E3"/>
    <w:rsid w:val="7FC958C5"/>
    <w:rsid w:val="7FD05237"/>
    <w:rsid w:val="7FE75071"/>
    <w:rsid w:val="7FF24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36"/>
    <w:qFormat/>
    <w:uiPriority w:val="1"/>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44"/>
    <w:qFormat/>
    <w:uiPriority w:val="1"/>
    <w:pPr>
      <w:keepNext/>
      <w:keepLines/>
      <w:spacing w:before="260" w:after="260" w:line="416" w:lineRule="auto"/>
      <w:outlineLvl w:val="1"/>
    </w:pPr>
    <w:rPr>
      <w:rFonts w:ascii="Arial" w:hAnsi="Arial" w:eastAsia="黑体"/>
      <w:b/>
      <w:bCs/>
      <w:szCs w:val="32"/>
    </w:rPr>
  </w:style>
  <w:style w:type="paragraph" w:styleId="4">
    <w:name w:val="heading 3"/>
    <w:basedOn w:val="1"/>
    <w:next w:val="1"/>
    <w:link w:val="38"/>
    <w:qFormat/>
    <w:uiPriority w:val="0"/>
    <w:pPr>
      <w:keepNext/>
      <w:keepLines/>
      <w:spacing w:before="260" w:after="260" w:line="416" w:lineRule="auto"/>
      <w:outlineLvl w:val="2"/>
    </w:pPr>
    <w:rPr>
      <w:rFonts w:eastAsia="宋体"/>
      <w:b/>
      <w:bCs/>
      <w:szCs w:val="32"/>
    </w:rPr>
  </w:style>
  <w:style w:type="paragraph" w:styleId="5">
    <w:name w:val="heading 4"/>
    <w:basedOn w:val="1"/>
    <w:next w:val="1"/>
    <w:qFormat/>
    <w:uiPriority w:val="0"/>
    <w:pPr>
      <w:keepNext/>
      <w:spacing w:line="360" w:lineRule="auto"/>
      <w:outlineLvl w:val="3"/>
    </w:pPr>
    <w:rPr>
      <w:sz w:val="28"/>
    </w:rPr>
  </w:style>
  <w:style w:type="paragraph" w:styleId="6">
    <w:name w:val="heading 6"/>
    <w:basedOn w:val="1"/>
    <w:next w:val="1"/>
    <w:link w:val="39"/>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9"/>
    <w:qFormat/>
    <w:uiPriority w:val="0"/>
    <w:pPr>
      <w:ind w:firstLine="420" w:firstLineChars="200"/>
    </w:pPr>
    <w:rPr>
      <w:rFonts w:eastAsia="宋体"/>
      <w:sz w:val="21"/>
    </w:rPr>
  </w:style>
  <w:style w:type="paragraph" w:styleId="8">
    <w:name w:val="Document Map"/>
    <w:basedOn w:val="1"/>
    <w:link w:val="40"/>
    <w:semiHidden/>
    <w:unhideWhenUsed/>
    <w:qFormat/>
    <w:uiPriority w:val="99"/>
    <w:rPr>
      <w:rFonts w:ascii="宋体" w:eastAsia="宋体" w:hAnsiTheme="minorHAnsi" w:cstheme="minorBidi"/>
      <w:sz w:val="18"/>
      <w:szCs w:val="18"/>
    </w:rPr>
  </w:style>
  <w:style w:type="paragraph" w:styleId="9">
    <w:name w:val="annotation text"/>
    <w:basedOn w:val="1"/>
    <w:link w:val="64"/>
    <w:unhideWhenUsed/>
    <w:qFormat/>
    <w:uiPriority w:val="99"/>
    <w:pPr>
      <w:jc w:val="left"/>
    </w:pPr>
    <w:rPr>
      <w:rFonts w:asciiTheme="minorHAnsi" w:hAnsiTheme="minorHAnsi" w:eastAsiaTheme="minorEastAsia" w:cstheme="minorBidi"/>
      <w:sz w:val="21"/>
      <w:szCs w:val="22"/>
    </w:rPr>
  </w:style>
  <w:style w:type="paragraph" w:styleId="10">
    <w:name w:val="Body Text 3"/>
    <w:basedOn w:val="1"/>
    <w:link w:val="34"/>
    <w:qFormat/>
    <w:uiPriority w:val="0"/>
    <w:pPr>
      <w:spacing w:after="120"/>
    </w:pPr>
    <w:rPr>
      <w:sz w:val="16"/>
      <w:szCs w:val="16"/>
    </w:rPr>
  </w:style>
  <w:style w:type="paragraph" w:styleId="11">
    <w:name w:val="Body Text"/>
    <w:basedOn w:val="1"/>
    <w:link w:val="35"/>
    <w:unhideWhenUsed/>
    <w:qFormat/>
    <w:uiPriority w:val="1"/>
    <w:pPr>
      <w:spacing w:after="120"/>
    </w:pPr>
  </w:style>
  <w:style w:type="paragraph" w:styleId="12">
    <w:name w:val="Body Text Indent"/>
    <w:basedOn w:val="1"/>
    <w:link w:val="55"/>
    <w:qFormat/>
    <w:uiPriority w:val="0"/>
    <w:pPr>
      <w:spacing w:after="120"/>
      <w:ind w:left="420" w:leftChars="200"/>
    </w:pPr>
    <w:rPr>
      <w:rFonts w:eastAsia="宋体"/>
      <w:sz w:val="21"/>
    </w:rPr>
  </w:style>
  <w:style w:type="paragraph" w:styleId="13">
    <w:name w:val="toc 3"/>
    <w:basedOn w:val="1"/>
    <w:next w:val="1"/>
    <w:unhideWhenUsed/>
    <w:qFormat/>
    <w:uiPriority w:val="39"/>
    <w:pPr>
      <w:ind w:left="840" w:leftChars="400"/>
    </w:pPr>
    <w:rPr>
      <w:rFonts w:asciiTheme="minorHAnsi" w:hAnsiTheme="minorHAnsi" w:eastAsiaTheme="minorEastAsia" w:cstheme="minorBidi"/>
      <w:sz w:val="21"/>
      <w:szCs w:val="22"/>
    </w:rPr>
  </w:style>
  <w:style w:type="paragraph" w:styleId="14">
    <w:name w:val="Plain Text"/>
    <w:basedOn w:val="1"/>
    <w:link w:val="47"/>
    <w:qFormat/>
    <w:uiPriority w:val="0"/>
    <w:rPr>
      <w:rFonts w:ascii="宋体" w:hAnsi="ISOCT" w:eastAsia="宋体"/>
      <w:sz w:val="21"/>
      <w:szCs w:val="21"/>
    </w:rPr>
  </w:style>
  <w:style w:type="paragraph" w:styleId="15">
    <w:name w:val="Date"/>
    <w:basedOn w:val="1"/>
    <w:next w:val="1"/>
    <w:link w:val="73"/>
    <w:semiHidden/>
    <w:unhideWhenUsed/>
    <w:qFormat/>
    <w:uiPriority w:val="99"/>
    <w:pPr>
      <w:ind w:left="100" w:leftChars="2500"/>
    </w:pPr>
  </w:style>
  <w:style w:type="paragraph" w:styleId="16">
    <w:name w:val="Balloon Text"/>
    <w:basedOn w:val="1"/>
    <w:link w:val="48"/>
    <w:semiHidden/>
    <w:unhideWhenUsed/>
    <w:qFormat/>
    <w:uiPriority w:val="99"/>
    <w:rPr>
      <w:rFonts w:asciiTheme="minorHAnsi" w:hAnsiTheme="minorHAnsi" w:eastAsiaTheme="minorEastAsia" w:cstheme="minorBidi"/>
      <w:sz w:val="18"/>
      <w:szCs w:val="18"/>
    </w:rPr>
  </w:style>
  <w:style w:type="paragraph" w:styleId="17">
    <w:name w:val="footer"/>
    <w:basedOn w:val="1"/>
    <w:link w:val="4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4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9">
    <w:name w:val="toc 1"/>
    <w:basedOn w:val="1"/>
    <w:next w:val="1"/>
    <w:unhideWhenUsed/>
    <w:qFormat/>
    <w:uiPriority w:val="39"/>
    <w:rPr>
      <w:rFonts w:asciiTheme="minorHAnsi" w:hAnsiTheme="minorHAnsi" w:eastAsiaTheme="minorEastAsia" w:cstheme="minorBidi"/>
      <w:sz w:val="21"/>
      <w:szCs w:val="22"/>
    </w:rPr>
  </w:style>
  <w:style w:type="paragraph" w:styleId="20">
    <w:name w:val="Body Text Indent 3"/>
    <w:basedOn w:val="1"/>
    <w:link w:val="58"/>
    <w:qFormat/>
    <w:uiPriority w:val="0"/>
    <w:pPr>
      <w:spacing w:after="120"/>
      <w:ind w:left="420" w:leftChars="200"/>
    </w:pPr>
    <w:rPr>
      <w:rFonts w:eastAsia="宋体"/>
      <w:sz w:val="16"/>
      <w:szCs w:val="16"/>
    </w:rPr>
  </w:style>
  <w:style w:type="paragraph" w:styleId="21">
    <w:name w:val="toc 2"/>
    <w:basedOn w:val="1"/>
    <w:next w:val="1"/>
    <w:unhideWhenUsed/>
    <w:qFormat/>
    <w:uiPriority w:val="39"/>
    <w:pPr>
      <w:ind w:left="420" w:leftChars="200"/>
    </w:pPr>
    <w:rPr>
      <w:rFonts w:asciiTheme="minorHAnsi" w:hAnsiTheme="minorHAnsi" w:eastAsiaTheme="minorEastAsia" w:cstheme="minorBidi"/>
      <w:sz w:val="21"/>
      <w:szCs w:val="22"/>
    </w:rPr>
  </w:style>
  <w:style w:type="paragraph" w:styleId="22">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3">
    <w:name w:val="annotation subject"/>
    <w:basedOn w:val="9"/>
    <w:next w:val="9"/>
    <w:link w:val="65"/>
    <w:semiHidden/>
    <w:unhideWhenUsed/>
    <w:qFormat/>
    <w:uiPriority w:val="99"/>
    <w:rPr>
      <w:b/>
      <w:bCs/>
    </w:rPr>
  </w:style>
  <w:style w:type="paragraph" w:styleId="24">
    <w:name w:val="Body Text First Indent"/>
    <w:basedOn w:val="11"/>
    <w:link w:val="109"/>
    <w:semiHidden/>
    <w:unhideWhenUsed/>
    <w:uiPriority w:val="99"/>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page number"/>
    <w:basedOn w:val="27"/>
    <w:qFormat/>
    <w:uiPriority w:val="0"/>
  </w:style>
  <w:style w:type="character" w:styleId="30">
    <w:name w:val="Hyperlink"/>
    <w:qFormat/>
    <w:uiPriority w:val="99"/>
    <w:rPr>
      <w:color w:val="0000FF"/>
      <w:u w:val="single"/>
    </w:rPr>
  </w:style>
  <w:style w:type="character" w:styleId="31">
    <w:name w:val="annotation reference"/>
    <w:basedOn w:val="27"/>
    <w:semiHidden/>
    <w:unhideWhenUsed/>
    <w:qFormat/>
    <w:uiPriority w:val="99"/>
    <w:rPr>
      <w:sz w:val="21"/>
      <w:szCs w:val="21"/>
    </w:rPr>
  </w:style>
  <w:style w:type="paragraph" w:customStyle="1" w:styleId="32">
    <w:name w:val="正文格式"/>
    <w:basedOn w:val="1"/>
    <w:qFormat/>
    <w:locked/>
    <w:uiPriority w:val="0"/>
    <w:pPr>
      <w:spacing w:line="360" w:lineRule="auto"/>
      <w:ind w:firstLine="482"/>
    </w:pPr>
  </w:style>
  <w:style w:type="paragraph" w:customStyle="1" w:styleId="33">
    <w:name w:val="表格内"/>
    <w:basedOn w:val="1"/>
    <w:qFormat/>
    <w:uiPriority w:val="0"/>
    <w:pPr>
      <w:adjustRightInd w:val="0"/>
      <w:spacing w:line="240" w:lineRule="atLeast"/>
      <w:jc w:val="center"/>
      <w:textAlignment w:val="baseline"/>
    </w:pPr>
    <w:rPr>
      <w:rFonts w:ascii="宋体"/>
      <w:kern w:val="0"/>
      <w:sz w:val="28"/>
      <w:szCs w:val="28"/>
    </w:rPr>
  </w:style>
  <w:style w:type="character" w:customStyle="1" w:styleId="34">
    <w:name w:val="正文文本 3 字符"/>
    <w:basedOn w:val="27"/>
    <w:link w:val="10"/>
    <w:qFormat/>
    <w:uiPriority w:val="0"/>
    <w:rPr>
      <w:rFonts w:ascii="Times New Roman" w:hAnsi="Times New Roman" w:eastAsia="仿宋_GB2312" w:cs="Times New Roman"/>
      <w:sz w:val="16"/>
      <w:szCs w:val="16"/>
    </w:rPr>
  </w:style>
  <w:style w:type="character" w:customStyle="1" w:styleId="35">
    <w:name w:val="正文文本 字符"/>
    <w:basedOn w:val="27"/>
    <w:link w:val="11"/>
    <w:qFormat/>
    <w:uiPriority w:val="0"/>
    <w:rPr>
      <w:rFonts w:ascii="Times New Roman" w:hAnsi="Times New Roman" w:eastAsia="仿宋_GB2312" w:cs="Times New Roman"/>
      <w:sz w:val="32"/>
      <w:szCs w:val="24"/>
    </w:rPr>
  </w:style>
  <w:style w:type="character" w:customStyle="1" w:styleId="36">
    <w:name w:val="标题 1 字符"/>
    <w:basedOn w:val="27"/>
    <w:link w:val="2"/>
    <w:qFormat/>
    <w:uiPriority w:val="9"/>
    <w:rPr>
      <w:b/>
      <w:bCs/>
      <w:kern w:val="44"/>
      <w:sz w:val="44"/>
      <w:szCs w:val="44"/>
    </w:rPr>
  </w:style>
  <w:style w:type="character" w:customStyle="1" w:styleId="37">
    <w:name w:val="标题 2 Char"/>
    <w:basedOn w:val="27"/>
    <w:semiHidden/>
    <w:qFormat/>
    <w:uiPriority w:val="9"/>
    <w:rPr>
      <w:rFonts w:asciiTheme="majorHAnsi" w:hAnsiTheme="majorHAnsi" w:eastAsiaTheme="majorEastAsia" w:cstheme="majorBidi"/>
      <w:b/>
      <w:bCs/>
      <w:sz w:val="32"/>
      <w:szCs w:val="32"/>
    </w:rPr>
  </w:style>
  <w:style w:type="character" w:customStyle="1" w:styleId="38">
    <w:name w:val="标题 3 字符"/>
    <w:basedOn w:val="27"/>
    <w:link w:val="4"/>
    <w:qFormat/>
    <w:uiPriority w:val="0"/>
    <w:rPr>
      <w:rFonts w:ascii="Times New Roman" w:hAnsi="Times New Roman" w:eastAsia="宋体" w:cs="Times New Roman"/>
      <w:b/>
      <w:bCs/>
      <w:sz w:val="32"/>
      <w:szCs w:val="32"/>
    </w:rPr>
  </w:style>
  <w:style w:type="character" w:customStyle="1" w:styleId="39">
    <w:name w:val="标题 6 字符"/>
    <w:basedOn w:val="27"/>
    <w:link w:val="6"/>
    <w:semiHidden/>
    <w:qFormat/>
    <w:uiPriority w:val="9"/>
    <w:rPr>
      <w:rFonts w:asciiTheme="majorHAnsi" w:hAnsiTheme="majorHAnsi" w:eastAsiaTheme="majorEastAsia" w:cstheme="majorBidi"/>
      <w:b/>
      <w:bCs/>
      <w:sz w:val="24"/>
      <w:szCs w:val="24"/>
    </w:rPr>
  </w:style>
  <w:style w:type="character" w:customStyle="1" w:styleId="40">
    <w:name w:val="文档结构图 字符"/>
    <w:basedOn w:val="27"/>
    <w:link w:val="8"/>
    <w:semiHidden/>
    <w:qFormat/>
    <w:uiPriority w:val="99"/>
    <w:rPr>
      <w:rFonts w:ascii="宋体" w:eastAsia="宋体"/>
      <w:sz w:val="18"/>
      <w:szCs w:val="18"/>
    </w:rPr>
  </w:style>
  <w:style w:type="character" w:customStyle="1" w:styleId="41">
    <w:name w:val="页眉 字符"/>
    <w:basedOn w:val="27"/>
    <w:link w:val="18"/>
    <w:qFormat/>
    <w:uiPriority w:val="99"/>
    <w:rPr>
      <w:sz w:val="18"/>
      <w:szCs w:val="18"/>
    </w:rPr>
  </w:style>
  <w:style w:type="character" w:customStyle="1" w:styleId="42">
    <w:name w:val="页脚 字符"/>
    <w:basedOn w:val="27"/>
    <w:link w:val="17"/>
    <w:qFormat/>
    <w:uiPriority w:val="99"/>
    <w:rPr>
      <w:sz w:val="18"/>
      <w:szCs w:val="18"/>
    </w:rPr>
  </w:style>
  <w:style w:type="paragraph" w:styleId="43">
    <w:name w:val="List Paragraph"/>
    <w:basedOn w:val="1"/>
    <w:qFormat/>
    <w:uiPriority w:val="1"/>
    <w:pPr>
      <w:ind w:firstLine="420" w:firstLineChars="200"/>
    </w:pPr>
    <w:rPr>
      <w:rFonts w:asciiTheme="minorHAnsi" w:hAnsiTheme="minorHAnsi" w:eastAsiaTheme="minorEastAsia" w:cstheme="minorBidi"/>
      <w:sz w:val="21"/>
      <w:szCs w:val="22"/>
    </w:rPr>
  </w:style>
  <w:style w:type="character" w:customStyle="1" w:styleId="44">
    <w:name w:val="标题 2 字符"/>
    <w:link w:val="3"/>
    <w:qFormat/>
    <w:uiPriority w:val="0"/>
    <w:rPr>
      <w:rFonts w:ascii="Arial" w:hAnsi="Arial" w:eastAsia="黑体" w:cs="Times New Roman"/>
      <w:b/>
      <w:bCs/>
      <w:sz w:val="32"/>
      <w:szCs w:val="32"/>
    </w:rPr>
  </w:style>
  <w:style w:type="paragraph" w:customStyle="1" w:styleId="45">
    <w:name w:val="样式 四号 首行缩进:  1.01 厘米"/>
    <w:qFormat/>
    <w:uiPriority w:val="0"/>
    <w:pPr>
      <w:ind w:firstLine="570"/>
    </w:pPr>
    <w:rPr>
      <w:rFonts w:ascii="Times New Roman" w:hAnsi="Times New Roman" w:eastAsia="宋体" w:cs="宋体"/>
      <w:sz w:val="28"/>
      <w:szCs w:val="28"/>
      <w:lang w:val="en-US" w:eastAsia="zh-CN" w:bidi="ar-SA"/>
    </w:rPr>
  </w:style>
  <w:style w:type="character" w:customStyle="1" w:styleId="46">
    <w:name w:val="纯文本 Char"/>
    <w:basedOn w:val="27"/>
    <w:qFormat/>
    <w:uiPriority w:val="0"/>
    <w:rPr>
      <w:rFonts w:ascii="宋体" w:hAnsi="Courier New" w:eastAsia="宋体" w:cs="Courier New"/>
      <w:szCs w:val="21"/>
    </w:rPr>
  </w:style>
  <w:style w:type="character" w:customStyle="1" w:styleId="47">
    <w:name w:val="纯文本 字符"/>
    <w:link w:val="14"/>
    <w:qFormat/>
    <w:uiPriority w:val="0"/>
    <w:rPr>
      <w:rFonts w:ascii="宋体" w:hAnsi="ISOCT" w:eastAsia="宋体" w:cs="Times New Roman"/>
      <w:szCs w:val="21"/>
    </w:rPr>
  </w:style>
  <w:style w:type="character" w:customStyle="1" w:styleId="48">
    <w:name w:val="批注框文本 字符"/>
    <w:basedOn w:val="27"/>
    <w:link w:val="16"/>
    <w:semiHidden/>
    <w:qFormat/>
    <w:uiPriority w:val="99"/>
    <w:rPr>
      <w:sz w:val="18"/>
      <w:szCs w:val="18"/>
    </w:rPr>
  </w:style>
  <w:style w:type="paragraph" w:customStyle="1" w:styleId="49">
    <w:name w:val="表内文字"/>
    <w:link w:val="51"/>
    <w:qFormat/>
    <w:uiPriority w:val="0"/>
    <w:pPr>
      <w:spacing w:line="360" w:lineRule="exact"/>
      <w:jc w:val="center"/>
    </w:pPr>
    <w:rPr>
      <w:rFonts w:ascii="Times New Roman" w:hAnsi="Times New Roman" w:eastAsia="宋体" w:cs="Times New Roman"/>
      <w:sz w:val="24"/>
      <w:lang w:val="en-US" w:eastAsia="zh-CN" w:bidi="ar-SA"/>
    </w:rPr>
  </w:style>
  <w:style w:type="paragraph" w:customStyle="1" w:styleId="50">
    <w:name w:val="表头1"/>
    <w:basedOn w:val="1"/>
    <w:qFormat/>
    <w:uiPriority w:val="0"/>
    <w:pPr>
      <w:spacing w:beforeLines="50" w:line="360" w:lineRule="auto"/>
      <w:jc w:val="center"/>
    </w:pPr>
    <w:rPr>
      <w:rFonts w:eastAsia="黑体"/>
      <w:b/>
      <w:sz w:val="24"/>
    </w:rPr>
  </w:style>
  <w:style w:type="character" w:customStyle="1" w:styleId="51">
    <w:name w:val="表内文字 Char"/>
    <w:link w:val="49"/>
    <w:qFormat/>
    <w:uiPriority w:val="0"/>
    <w:rPr>
      <w:rFonts w:ascii="Times New Roman" w:hAnsi="Times New Roman" w:eastAsia="宋体" w:cs="Times New Roman"/>
      <w:kern w:val="0"/>
      <w:sz w:val="24"/>
      <w:szCs w:val="20"/>
    </w:rPr>
  </w:style>
  <w:style w:type="paragraph" w:customStyle="1" w:styleId="52">
    <w:name w:val="正文2"/>
    <w:qFormat/>
    <w:uiPriority w:val="0"/>
    <w:pPr>
      <w:widowControl w:val="0"/>
      <w:adjustRightInd w:val="0"/>
      <w:spacing w:line="360" w:lineRule="atLeast"/>
    </w:pPr>
    <w:rPr>
      <w:rFonts w:ascii="Arial" w:hAnsi="Times New Roman" w:eastAsia="宋体" w:cs="Times New Roman"/>
      <w:sz w:val="34"/>
      <w:lang w:val="en-US" w:eastAsia="zh-CN" w:bidi="ar-SA"/>
    </w:rPr>
  </w:style>
  <w:style w:type="paragraph" w:customStyle="1" w:styleId="53">
    <w:name w:val="样式 宋体 四号 两端对齐 首行缩进:  2 字符1"/>
    <w:basedOn w:val="1"/>
    <w:semiHidden/>
    <w:qFormat/>
    <w:uiPriority w:val="0"/>
    <w:pPr>
      <w:widowControl/>
      <w:ind w:firstLine="650" w:firstLineChars="200"/>
    </w:pPr>
    <w:rPr>
      <w:rFonts w:eastAsia="宋体" w:cs="宋体"/>
      <w:kern w:val="0"/>
      <w:sz w:val="28"/>
      <w:szCs w:val="28"/>
    </w:rPr>
  </w:style>
  <w:style w:type="paragraph" w:customStyle="1" w:styleId="54">
    <w:name w:val="样式 样式 宋体 四号 黑色 两端对齐 首行缩进:  2 字符 + 首行缩进:  2 字符"/>
    <w:basedOn w:val="1"/>
    <w:semiHidden/>
    <w:qFormat/>
    <w:uiPriority w:val="0"/>
    <w:pPr>
      <w:widowControl/>
      <w:ind w:firstLine="560" w:firstLineChars="200"/>
    </w:pPr>
    <w:rPr>
      <w:rFonts w:eastAsia="宋体" w:cs="宋体"/>
      <w:kern w:val="0"/>
      <w:sz w:val="28"/>
      <w:szCs w:val="28"/>
    </w:rPr>
  </w:style>
  <w:style w:type="character" w:customStyle="1" w:styleId="55">
    <w:name w:val="正文文本缩进 字符"/>
    <w:basedOn w:val="27"/>
    <w:link w:val="12"/>
    <w:qFormat/>
    <w:uiPriority w:val="0"/>
    <w:rPr>
      <w:rFonts w:ascii="Times New Roman" w:hAnsi="Times New Roman" w:eastAsia="宋体" w:cs="Times New Roman"/>
      <w:szCs w:val="24"/>
    </w:rPr>
  </w:style>
  <w:style w:type="paragraph" w:customStyle="1" w:styleId="56">
    <w:name w:val="样式经"/>
    <w:basedOn w:val="1"/>
    <w:semiHidden/>
    <w:qFormat/>
    <w:uiPriority w:val="0"/>
    <w:pPr>
      <w:adjustRightInd w:val="0"/>
      <w:snapToGrid w:val="0"/>
      <w:spacing w:line="360" w:lineRule="auto"/>
      <w:ind w:firstLine="536" w:firstLineChars="200"/>
      <w:jc w:val="center"/>
    </w:pPr>
    <w:rPr>
      <w:rFonts w:ascii="宋体" w:hAnsi="宋体" w:eastAsia="宋体" w:cs="宋体"/>
      <w:spacing w:val="14"/>
      <w:kern w:val="28"/>
      <w:sz w:val="24"/>
    </w:rPr>
  </w:style>
  <w:style w:type="paragraph" w:customStyle="1" w:styleId="57">
    <w:name w:val="8 Char1 Char"/>
    <w:basedOn w:val="1"/>
    <w:qFormat/>
    <w:uiPriority w:val="0"/>
    <w:pPr>
      <w:spacing w:line="360" w:lineRule="auto"/>
      <w:ind w:firstLine="480" w:firstLineChars="200"/>
    </w:pPr>
    <w:rPr>
      <w:rFonts w:eastAsia="宋体"/>
      <w:kern w:val="10"/>
      <w:sz w:val="24"/>
      <w:szCs w:val="21"/>
    </w:rPr>
  </w:style>
  <w:style w:type="character" w:customStyle="1" w:styleId="58">
    <w:name w:val="正文文本缩进 3 字符"/>
    <w:basedOn w:val="27"/>
    <w:link w:val="20"/>
    <w:qFormat/>
    <w:uiPriority w:val="0"/>
    <w:rPr>
      <w:rFonts w:ascii="Times New Roman" w:hAnsi="Times New Roman" w:eastAsia="宋体" w:cs="Times New Roman"/>
      <w:sz w:val="16"/>
      <w:szCs w:val="16"/>
    </w:rPr>
  </w:style>
  <w:style w:type="paragraph" w:styleId="5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xl41"/>
    <w:basedOn w:val="1"/>
    <w:qFormat/>
    <w:uiPriority w:val="0"/>
    <w:pPr>
      <w:widowControl/>
      <w:pBdr>
        <w:bottom w:val="single" w:color="auto" w:sz="4" w:space="0"/>
      </w:pBdr>
      <w:spacing w:before="100" w:beforeAutospacing="1" w:after="100" w:afterAutospacing="1"/>
      <w:jc w:val="center"/>
    </w:pPr>
    <w:rPr>
      <w:rFonts w:eastAsia="宋体"/>
      <w:kern w:val="0"/>
      <w:sz w:val="21"/>
      <w:szCs w:val="21"/>
    </w:rPr>
  </w:style>
  <w:style w:type="paragraph" w:customStyle="1" w:styleId="61">
    <w:name w:val="正文（内容）"/>
    <w:basedOn w:val="1"/>
    <w:qFormat/>
    <w:uiPriority w:val="0"/>
    <w:pPr>
      <w:ind w:firstLine="480" w:firstLineChars="200"/>
    </w:pPr>
    <w:rPr>
      <w:rFonts w:ascii="宋体" w:hAnsi="宋体" w:eastAsia="宋体" w:cs="宋体"/>
      <w:sz w:val="24"/>
      <w:szCs w:val="20"/>
    </w:rPr>
  </w:style>
  <w:style w:type="character" w:customStyle="1" w:styleId="62">
    <w:name w:val="报告书正文 Char2"/>
    <w:link w:val="63"/>
    <w:qFormat/>
    <w:uiPriority w:val="0"/>
    <w:rPr>
      <w:sz w:val="24"/>
      <w:szCs w:val="24"/>
    </w:rPr>
  </w:style>
  <w:style w:type="paragraph" w:customStyle="1" w:styleId="63">
    <w:name w:val="报告书正文"/>
    <w:basedOn w:val="1"/>
    <w:link w:val="62"/>
    <w:qFormat/>
    <w:uiPriority w:val="0"/>
    <w:pPr>
      <w:spacing w:line="300" w:lineRule="auto"/>
      <w:ind w:firstLine="480" w:firstLineChars="200"/>
    </w:pPr>
    <w:rPr>
      <w:rFonts w:asciiTheme="minorHAnsi" w:hAnsiTheme="minorHAnsi" w:eastAsiaTheme="minorEastAsia" w:cstheme="minorBidi"/>
      <w:sz w:val="24"/>
    </w:rPr>
  </w:style>
  <w:style w:type="character" w:customStyle="1" w:styleId="64">
    <w:name w:val="批注文字 字符"/>
    <w:basedOn w:val="27"/>
    <w:link w:val="9"/>
    <w:qFormat/>
    <w:uiPriority w:val="99"/>
  </w:style>
  <w:style w:type="character" w:customStyle="1" w:styleId="65">
    <w:name w:val="批注主题 字符"/>
    <w:basedOn w:val="64"/>
    <w:link w:val="23"/>
    <w:semiHidden/>
    <w:qFormat/>
    <w:uiPriority w:val="99"/>
    <w:rPr>
      <w:b/>
      <w:bCs/>
    </w:rPr>
  </w:style>
  <w:style w:type="paragraph" w:customStyle="1" w:styleId="66">
    <w:name w:val="水保-正文"/>
    <w:basedOn w:val="1"/>
    <w:next w:val="1"/>
    <w:link w:val="67"/>
    <w:qFormat/>
    <w:uiPriority w:val="0"/>
    <w:pPr>
      <w:spacing w:line="360" w:lineRule="auto"/>
      <w:ind w:firstLine="200" w:firstLineChars="200"/>
    </w:pPr>
    <w:rPr>
      <w:rFonts w:eastAsia="宋体"/>
      <w:sz w:val="24"/>
      <w:szCs w:val="21"/>
    </w:rPr>
  </w:style>
  <w:style w:type="character" w:customStyle="1" w:styleId="67">
    <w:name w:val="水保-正文 Char"/>
    <w:link w:val="66"/>
    <w:qFormat/>
    <w:uiPriority w:val="0"/>
    <w:rPr>
      <w:rFonts w:ascii="Times New Roman" w:hAnsi="Times New Roman" w:eastAsia="宋体" w:cs="Times New Roman"/>
      <w:sz w:val="24"/>
      <w:szCs w:val="21"/>
    </w:rPr>
  </w:style>
  <w:style w:type="paragraph" w:customStyle="1" w:styleId="68">
    <w:name w:val="title3"/>
    <w:basedOn w:val="1"/>
    <w:qFormat/>
    <w:uiPriority w:val="0"/>
    <w:pPr>
      <w:spacing w:beforeLines="50" w:line="480" w:lineRule="atLeast"/>
    </w:pPr>
    <w:rPr>
      <w:rFonts w:eastAsia="宋体"/>
      <w:b/>
      <w:sz w:val="28"/>
    </w:rPr>
  </w:style>
  <w:style w:type="character" w:customStyle="1" w:styleId="69">
    <w:name w:val="正文缩进 字符"/>
    <w:link w:val="7"/>
    <w:qFormat/>
    <w:uiPriority w:val="0"/>
    <w:rPr>
      <w:rFonts w:ascii="Times New Roman" w:hAnsi="Times New Roman" w:eastAsia="宋体" w:cs="Times New Roman"/>
      <w:szCs w:val="24"/>
    </w:rPr>
  </w:style>
  <w:style w:type="paragraph" w:customStyle="1" w:styleId="70">
    <w:name w:val="样式 两端对齐 首行缩进:  2 字符"/>
    <w:basedOn w:val="1"/>
    <w:semiHidden/>
    <w:qFormat/>
    <w:uiPriority w:val="0"/>
    <w:pPr>
      <w:widowControl/>
      <w:ind w:firstLine="560" w:firstLineChars="200"/>
    </w:pPr>
    <w:rPr>
      <w:rFonts w:eastAsia="宋体" w:cs="宋体"/>
      <w:kern w:val="0"/>
      <w:sz w:val="28"/>
      <w:szCs w:val="28"/>
    </w:rPr>
  </w:style>
  <w:style w:type="paragraph" w:customStyle="1" w:styleId="71">
    <w:name w:val="表头"/>
    <w:basedOn w:val="1"/>
    <w:link w:val="72"/>
    <w:qFormat/>
    <w:uiPriority w:val="0"/>
    <w:pPr>
      <w:jc w:val="center"/>
    </w:pPr>
    <w:rPr>
      <w:rFonts w:eastAsia="黑体"/>
      <w:kern w:val="0"/>
      <w:sz w:val="21"/>
      <w:szCs w:val="21"/>
    </w:rPr>
  </w:style>
  <w:style w:type="character" w:customStyle="1" w:styleId="72">
    <w:name w:val="表头 Char"/>
    <w:link w:val="71"/>
    <w:qFormat/>
    <w:uiPriority w:val="0"/>
    <w:rPr>
      <w:rFonts w:ascii="Times New Roman" w:hAnsi="Times New Roman" w:eastAsia="黑体" w:cs="Times New Roman"/>
      <w:kern w:val="0"/>
      <w:szCs w:val="21"/>
    </w:rPr>
  </w:style>
  <w:style w:type="character" w:customStyle="1" w:styleId="73">
    <w:name w:val="日期 字符"/>
    <w:basedOn w:val="27"/>
    <w:link w:val="15"/>
    <w:semiHidden/>
    <w:qFormat/>
    <w:uiPriority w:val="99"/>
    <w:rPr>
      <w:rFonts w:ascii="Times New Roman" w:hAnsi="Times New Roman" w:eastAsia="仿宋_GB2312" w:cs="Times New Roman"/>
      <w:sz w:val="32"/>
      <w:szCs w:val="24"/>
    </w:rPr>
  </w:style>
  <w:style w:type="paragraph" w:customStyle="1" w:styleId="74">
    <w:name w:val="样式 样式 四号 首行缩进:  0.99 厘米 + 左侧:  1.5 字符1"/>
    <w:basedOn w:val="1"/>
    <w:qFormat/>
    <w:uiPriority w:val="0"/>
    <w:pPr>
      <w:keepLines/>
      <w:ind w:firstLine="150" w:firstLineChars="150"/>
      <w:outlineLvl w:val="2"/>
    </w:pPr>
    <w:rPr>
      <w:rFonts w:eastAsia="黑体" w:cs="宋体"/>
      <w:szCs w:val="20"/>
    </w:rPr>
  </w:style>
  <w:style w:type="character" w:customStyle="1" w:styleId="75">
    <w:name w:val="王 表头 Char"/>
    <w:link w:val="76"/>
    <w:qFormat/>
    <w:uiPriority w:val="0"/>
    <w:rPr>
      <w:rFonts w:eastAsia="黑体"/>
      <w:sz w:val="28"/>
      <w:szCs w:val="28"/>
    </w:rPr>
  </w:style>
  <w:style w:type="paragraph" w:customStyle="1" w:styleId="76">
    <w:name w:val="王 表头"/>
    <w:basedOn w:val="1"/>
    <w:link w:val="75"/>
    <w:qFormat/>
    <w:uiPriority w:val="0"/>
    <w:pPr>
      <w:jc w:val="center"/>
    </w:pPr>
    <w:rPr>
      <w:rFonts w:eastAsia="黑体"/>
      <w:sz w:val="28"/>
      <w:szCs w:val="28"/>
    </w:rPr>
  </w:style>
  <w:style w:type="paragraph" w:customStyle="1" w:styleId="77">
    <w:name w:val="标题 4条（一）条，(一)(一)标题 41.11 + 红色左侧:  1.5 字符悬挂缩进: 2.75 字符....."/>
    <w:basedOn w:val="1"/>
    <w:qFormat/>
    <w:uiPriority w:val="0"/>
    <w:pPr>
      <w:keepNext/>
      <w:spacing w:beforeLines="25" w:afterLines="25"/>
      <w:ind w:left="1346" w:leftChars="200" w:hanging="779" w:hangingChars="275"/>
      <w:outlineLvl w:val="1"/>
    </w:pPr>
    <w:rPr>
      <w:rFonts w:ascii="Arial" w:hAnsi="Arial" w:eastAsia="黑体" w:cs="宋体"/>
      <w:sz w:val="28"/>
      <w:szCs w:val="20"/>
    </w:rPr>
  </w:style>
  <w:style w:type="paragraph" w:customStyle="1" w:styleId="78">
    <w:name w:val="设计文件表格"/>
    <w:basedOn w:val="13"/>
    <w:qFormat/>
    <w:uiPriority w:val="0"/>
    <w:pPr>
      <w:tabs>
        <w:tab w:val="right" w:leader="dot" w:pos="9056"/>
      </w:tabs>
      <w:snapToGrid w:val="0"/>
      <w:ind w:left="0"/>
      <w:jc w:val="center"/>
    </w:pPr>
    <w:rPr>
      <w:rFonts w:ascii="宋体" w:hAnsi="宋体" w:eastAsia="宋体"/>
      <w:b/>
      <w:bCs/>
      <w:kern w:val="0"/>
      <w:sz w:val="32"/>
      <w:szCs w:val="32"/>
    </w:rPr>
  </w:style>
  <w:style w:type="paragraph" w:customStyle="1" w:styleId="79">
    <w:name w:val="设计文件表名"/>
    <w:basedOn w:val="13"/>
    <w:qFormat/>
    <w:uiPriority w:val="0"/>
    <w:pPr>
      <w:tabs>
        <w:tab w:val="right" w:leader="dot" w:pos="9056"/>
      </w:tabs>
      <w:ind w:left="0"/>
      <w:jc w:val="center"/>
      <w:outlineLvl w:val="4"/>
    </w:pPr>
    <w:rPr>
      <w:rFonts w:ascii="Arial" w:hAnsi="Arial" w:eastAsia="黑体" w:cs="Arial"/>
      <w:b/>
      <w:bCs/>
      <w:sz w:val="26"/>
      <w:szCs w:val="32"/>
    </w:rPr>
  </w:style>
  <w:style w:type="paragraph" w:customStyle="1" w:styleId="80">
    <w:name w:val="王 正文 四宋"/>
    <w:basedOn w:val="1"/>
    <w:qFormat/>
    <w:uiPriority w:val="0"/>
    <w:pPr>
      <w:ind w:firstLine="146" w:firstLineChars="52"/>
      <w:jc w:val="center"/>
    </w:pPr>
    <w:rPr>
      <w:szCs w:val="28"/>
    </w:rPr>
  </w:style>
  <w:style w:type="character" w:customStyle="1" w:styleId="81">
    <w:name w:val="font21"/>
    <w:basedOn w:val="27"/>
    <w:qFormat/>
    <w:uiPriority w:val="0"/>
    <w:rPr>
      <w:rFonts w:hint="default" w:ascii="仿宋_GB2312" w:eastAsia="仿宋_GB2312" w:cs="仿宋_GB2312"/>
      <w:color w:val="000000"/>
      <w:sz w:val="21"/>
      <w:szCs w:val="21"/>
      <w:u w:val="none"/>
    </w:rPr>
  </w:style>
  <w:style w:type="character" w:customStyle="1" w:styleId="82">
    <w:name w:val="font31"/>
    <w:basedOn w:val="27"/>
    <w:qFormat/>
    <w:uiPriority w:val="0"/>
    <w:rPr>
      <w:rFonts w:hint="default" w:ascii="Times New Roman" w:hAnsi="Times New Roman" w:cs="Times New Roman"/>
      <w:color w:val="000000"/>
      <w:sz w:val="21"/>
      <w:szCs w:val="21"/>
      <w:u w:val="none"/>
    </w:rPr>
  </w:style>
  <w:style w:type="character" w:customStyle="1" w:styleId="83">
    <w:name w:val="font11"/>
    <w:basedOn w:val="27"/>
    <w:qFormat/>
    <w:uiPriority w:val="0"/>
    <w:rPr>
      <w:rFonts w:hint="default" w:ascii="Times New Roman" w:hAnsi="Times New Roman" w:cs="Times New Roman"/>
      <w:color w:val="000000"/>
      <w:sz w:val="21"/>
      <w:szCs w:val="21"/>
      <w:u w:val="none"/>
    </w:rPr>
  </w:style>
  <w:style w:type="character" w:customStyle="1" w:styleId="84">
    <w:name w:val="font61"/>
    <w:basedOn w:val="27"/>
    <w:qFormat/>
    <w:uiPriority w:val="0"/>
    <w:rPr>
      <w:rFonts w:hint="default" w:ascii="Times New Roman" w:hAnsi="Times New Roman" w:cs="Times New Roman"/>
      <w:color w:val="FF0000"/>
      <w:sz w:val="21"/>
      <w:szCs w:val="21"/>
      <w:u w:val="none"/>
      <w:vertAlign w:val="superscript"/>
    </w:rPr>
  </w:style>
  <w:style w:type="character" w:customStyle="1" w:styleId="85">
    <w:name w:val="font41"/>
    <w:basedOn w:val="27"/>
    <w:qFormat/>
    <w:uiPriority w:val="0"/>
    <w:rPr>
      <w:rFonts w:hint="eastAsia" w:ascii="宋体" w:hAnsi="宋体" w:eastAsia="宋体" w:cs="宋体"/>
      <w:color w:val="000000"/>
      <w:sz w:val="21"/>
      <w:szCs w:val="21"/>
      <w:u w:val="none"/>
      <w:vertAlign w:val="superscript"/>
    </w:rPr>
  </w:style>
  <w:style w:type="character" w:customStyle="1" w:styleId="86">
    <w:name w:val="font51"/>
    <w:basedOn w:val="27"/>
    <w:qFormat/>
    <w:uiPriority w:val="0"/>
    <w:rPr>
      <w:rFonts w:hint="default" w:ascii="Times New Roman" w:hAnsi="Times New Roman" w:cs="Times New Roman"/>
      <w:color w:val="FF0000"/>
      <w:sz w:val="21"/>
      <w:szCs w:val="21"/>
      <w:u w:val="none"/>
      <w:vertAlign w:val="superscript"/>
    </w:rPr>
  </w:style>
  <w:style w:type="character" w:customStyle="1" w:styleId="87">
    <w:name w:val="font71"/>
    <w:basedOn w:val="27"/>
    <w:qFormat/>
    <w:uiPriority w:val="0"/>
    <w:rPr>
      <w:rFonts w:hint="default" w:ascii="Times New Roman" w:hAnsi="Times New Roman" w:cs="Times New Roman"/>
      <w:color w:val="000000"/>
      <w:sz w:val="21"/>
      <w:szCs w:val="21"/>
      <w:u w:val="none"/>
    </w:rPr>
  </w:style>
  <w:style w:type="character" w:customStyle="1" w:styleId="88">
    <w:name w:val="font81"/>
    <w:basedOn w:val="27"/>
    <w:qFormat/>
    <w:uiPriority w:val="0"/>
    <w:rPr>
      <w:rFonts w:hint="default" w:ascii="Times New Roman" w:hAnsi="Times New Roman" w:cs="Times New Roman"/>
      <w:color w:val="000000"/>
      <w:sz w:val="21"/>
      <w:szCs w:val="21"/>
      <w:u w:val="none"/>
      <w:vertAlign w:val="superscript"/>
    </w:rPr>
  </w:style>
  <w:style w:type="character" w:customStyle="1" w:styleId="89">
    <w:name w:val="font01"/>
    <w:basedOn w:val="27"/>
    <w:qFormat/>
    <w:uiPriority w:val="0"/>
    <w:rPr>
      <w:rFonts w:hint="default" w:ascii="Times New Roman" w:hAnsi="Times New Roman" w:cs="Times New Roman"/>
      <w:color w:val="000000"/>
      <w:sz w:val="21"/>
      <w:szCs w:val="21"/>
      <w:u w:val="none"/>
    </w:rPr>
  </w:style>
  <w:style w:type="paragraph" w:customStyle="1" w:styleId="90">
    <w:name w:val="正文 1"/>
    <w:basedOn w:val="1"/>
    <w:link w:val="96"/>
    <w:qFormat/>
    <w:uiPriority w:val="0"/>
    <w:pPr>
      <w:spacing w:line="360" w:lineRule="auto"/>
      <w:ind w:firstLine="200" w:firstLineChars="200"/>
      <w:textAlignment w:val="baseline"/>
    </w:pPr>
    <w:rPr>
      <w:szCs w:val="20"/>
    </w:rPr>
  </w:style>
  <w:style w:type="character" w:customStyle="1" w:styleId="91">
    <w:name w:val="font91"/>
    <w:basedOn w:val="27"/>
    <w:qFormat/>
    <w:uiPriority w:val="0"/>
    <w:rPr>
      <w:rFonts w:hint="default" w:ascii="仿宋_GB2312" w:eastAsia="仿宋_GB2312" w:cs="仿宋_GB2312"/>
      <w:color w:val="000000"/>
      <w:sz w:val="21"/>
      <w:szCs w:val="21"/>
      <w:u w:val="none"/>
    </w:rPr>
  </w:style>
  <w:style w:type="character" w:customStyle="1" w:styleId="92">
    <w:name w:val="font121"/>
    <w:basedOn w:val="27"/>
    <w:qFormat/>
    <w:uiPriority w:val="0"/>
    <w:rPr>
      <w:rFonts w:hint="default" w:ascii="仿宋_GB2312" w:eastAsia="仿宋_GB2312" w:cs="仿宋_GB2312"/>
      <w:color w:val="000000"/>
      <w:sz w:val="21"/>
      <w:szCs w:val="21"/>
      <w:u w:val="none"/>
    </w:rPr>
  </w:style>
  <w:style w:type="character" w:customStyle="1" w:styleId="93">
    <w:name w:val="font112"/>
    <w:basedOn w:val="27"/>
    <w:qFormat/>
    <w:uiPriority w:val="0"/>
    <w:rPr>
      <w:rFonts w:hint="default" w:ascii="仿宋_GB2312" w:eastAsia="仿宋_GB2312" w:cs="仿宋_GB2312"/>
      <w:color w:val="000000"/>
      <w:sz w:val="21"/>
      <w:szCs w:val="21"/>
      <w:u w:val="none"/>
    </w:rPr>
  </w:style>
  <w:style w:type="character" w:customStyle="1" w:styleId="94">
    <w:name w:val="font101"/>
    <w:basedOn w:val="27"/>
    <w:qFormat/>
    <w:uiPriority w:val="0"/>
    <w:rPr>
      <w:rFonts w:hint="default" w:ascii="Times New Roman" w:hAnsi="Times New Roman" w:cs="Times New Roman"/>
      <w:color w:val="000000"/>
      <w:sz w:val="21"/>
      <w:szCs w:val="21"/>
      <w:u w:val="none"/>
    </w:rPr>
  </w:style>
  <w:style w:type="paragraph" w:customStyle="1" w:styleId="95">
    <w:name w:val="Default"/>
    <w:qFormat/>
    <w:uiPriority w:val="0"/>
    <w:pPr>
      <w:widowControl w:val="0"/>
      <w:autoSpaceDE w:val="0"/>
      <w:autoSpaceDN w:val="0"/>
      <w:adjustRightInd w:val="0"/>
    </w:pPr>
    <w:rPr>
      <w:rFonts w:ascii="宋体d..粛恤." w:hAnsi="Times New Roman" w:eastAsia="宋体d..粛恤." w:cs="宋体d..粛恤."/>
      <w:color w:val="000000"/>
      <w:sz w:val="24"/>
      <w:szCs w:val="24"/>
      <w:lang w:val="en-US" w:eastAsia="zh-CN" w:bidi="ar-SA"/>
    </w:rPr>
  </w:style>
  <w:style w:type="character" w:customStyle="1" w:styleId="96">
    <w:name w:val="正文 1 Char"/>
    <w:link w:val="90"/>
    <w:qFormat/>
    <w:uiPriority w:val="0"/>
    <w:rPr>
      <w:rFonts w:eastAsia="仿宋_GB2312"/>
      <w:kern w:val="2"/>
      <w:sz w:val="32"/>
    </w:rPr>
  </w:style>
  <w:style w:type="paragraph" w:customStyle="1" w:styleId="97">
    <w:name w:val="标题C"/>
    <w:basedOn w:val="1"/>
    <w:qFormat/>
    <w:uiPriority w:val="0"/>
    <w:pPr>
      <w:snapToGrid w:val="0"/>
      <w:spacing w:before="240" w:after="240"/>
      <w:outlineLvl w:val="2"/>
    </w:pPr>
    <w:rPr>
      <w:rFonts w:eastAsia="黑体"/>
      <w:b/>
      <w:sz w:val="28"/>
    </w:rPr>
  </w:style>
  <w:style w:type="paragraph" w:customStyle="1" w:styleId="98">
    <w:name w:val="样式 正文段落宋体"/>
    <w:basedOn w:val="1"/>
    <w:qFormat/>
    <w:uiPriority w:val="0"/>
    <w:rPr>
      <w:rFonts w:ascii="宋体" w:hAnsi="宋体" w:eastAsia="宋体"/>
      <w:sz w:val="28"/>
      <w:szCs w:val="20"/>
    </w:rPr>
  </w:style>
  <w:style w:type="paragraph" w:customStyle="1" w:styleId="99">
    <w:name w:val="样式 四号 行距: 1.5 倍行距"/>
    <w:basedOn w:val="1"/>
    <w:qFormat/>
    <w:uiPriority w:val="0"/>
    <w:pPr>
      <w:ind w:firstLine="560"/>
    </w:pPr>
    <w:rPr>
      <w:rFonts w:ascii="Arial" w:hAnsi="Arial" w:eastAsia="宋体"/>
      <w:szCs w:val="20"/>
    </w:rPr>
  </w:style>
  <w:style w:type="paragraph" w:customStyle="1" w:styleId="100">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customStyle="1" w:styleId="101">
    <w:name w:val="标题三"/>
    <w:basedOn w:val="1"/>
    <w:next w:val="1"/>
    <w:qFormat/>
    <w:uiPriority w:val="0"/>
    <w:pPr>
      <w:numPr>
        <w:ilvl w:val="0"/>
        <w:numId w:val="1"/>
      </w:numPr>
      <w:spacing w:line="360" w:lineRule="auto"/>
      <w:jc w:val="left"/>
      <w:outlineLvl w:val="2"/>
    </w:pPr>
    <w:rPr>
      <w:b/>
      <w:sz w:val="28"/>
      <w:szCs w:val="30"/>
    </w:rPr>
  </w:style>
  <w:style w:type="character" w:customStyle="1" w:styleId="102">
    <w:name w:val="font13"/>
    <w:basedOn w:val="27"/>
    <w:qFormat/>
    <w:uiPriority w:val="0"/>
    <w:rPr>
      <w:rFonts w:hint="eastAsia" w:ascii="宋体" w:hAnsi="宋体" w:eastAsia="宋体" w:cs="宋体"/>
      <w:color w:val="000000"/>
      <w:sz w:val="22"/>
      <w:szCs w:val="22"/>
      <w:u w:val="none"/>
    </w:rPr>
  </w:style>
  <w:style w:type="table" w:customStyle="1" w:styleId="103">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04">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05">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06">
    <w:name w:val="Table Paragraph"/>
    <w:basedOn w:val="1"/>
    <w:qFormat/>
    <w:uiPriority w:val="1"/>
    <w:pPr>
      <w:autoSpaceDE w:val="0"/>
      <w:autoSpaceDN w:val="0"/>
      <w:jc w:val="center"/>
    </w:pPr>
    <w:rPr>
      <w:rFonts w:eastAsia="Times New Roman"/>
      <w:kern w:val="0"/>
      <w:sz w:val="22"/>
      <w:szCs w:val="22"/>
      <w:lang w:eastAsia="en-US"/>
    </w:rPr>
  </w:style>
  <w:style w:type="table" w:customStyle="1" w:styleId="107">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08">
    <w:name w:val="Table Normal4"/>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09">
    <w:name w:val="正文文本首行缩进 字符"/>
    <w:basedOn w:val="35"/>
    <w:link w:val="24"/>
    <w:semiHidden/>
    <w:qFormat/>
    <w:uiPriority w:val="99"/>
    <w:rPr>
      <w:rFonts w:ascii="Times New Roman" w:hAnsi="Times New Roman" w:eastAsia="仿宋_GB2312" w:cs="Times New Roman"/>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347C0-A467-4197-9C3B-E4D50E274AE1}">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70</Pages>
  <Words>6425</Words>
  <Characters>36623</Characters>
  <Lines>305</Lines>
  <Paragraphs>85</Paragraphs>
  <TotalTime>29</TotalTime>
  <ScaleCrop>false</ScaleCrop>
  <LinksUpToDate>false</LinksUpToDate>
  <CharactersWithSpaces>42963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2020-09-23T02:55:00Z</dcterms:created>
  <dc:creator>Micorosoft</dc:creator>
  <cp:lastModifiedBy>如一1406249594</cp:lastModifiedBy>
  <cp:lastPrinted>2023-10-05T07:32:00Z</cp:lastPrinted>
  <dcterms:modified xsi:type="dcterms:W3CDTF">2023-10-06T01:24:16Z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8C1603A1681F446D8D5A246B0C9C00A2</vt:lpwstr>
  </property>
</Properties>
</file>