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sz w:val="30"/>
          <w:szCs w:val="30"/>
          <w:lang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lang w:eastAsia="zh-CN"/>
        </w:rPr>
        <w:t>关于</w:t>
      </w:r>
      <w:r>
        <w:rPr>
          <w:rFonts w:hint="eastAsia" w:ascii="华文中宋" w:hAnsi="华文中宋" w:eastAsia="华文中宋" w:cs="华文中宋"/>
          <w:b/>
          <w:bCs/>
          <w:sz w:val="44"/>
          <w:szCs w:val="44"/>
        </w:rPr>
        <w:t>赋予乡镇（街道）对需要部门协同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解决事项综合管理和统筹协调权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的实施办法（试行）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0"/>
          <w:szCs w:val="30"/>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为落实习近平总书记提出的“民有所呼、我有所应”指示要求，强化区各部门与乡镇（街道）条块联动、协作配合，提升基层治理效能，根据</w:t>
      </w:r>
      <w:r>
        <w:rPr>
          <w:rFonts w:ascii="仿宋" w:hAnsi="仿宋" w:eastAsia="仿宋" w:cs="仿宋"/>
          <w:bCs/>
          <w:sz w:val="32"/>
          <w:szCs w:val="32"/>
        </w:rPr>
        <w:t>省委办公厅、省政府办公厅印发的《关于推行乡镇（街道）职责清单的指导意见（试行）》（黑办发〔2022〕7号）和市委办公室、市政府办公室印发的《鸡西市推行乡镇（街道）职责任务清单试点工作实施方案（试行）》（鸡办发〔2022〕</w:t>
      </w:r>
      <w:r>
        <w:rPr>
          <w:rFonts w:hint="eastAsia" w:ascii="仿宋" w:hAnsi="仿宋" w:eastAsia="仿宋" w:cs="仿宋"/>
          <w:bCs/>
          <w:sz w:val="32"/>
          <w:szCs w:val="32"/>
        </w:rPr>
        <w:t>13</w:t>
      </w:r>
      <w:r>
        <w:rPr>
          <w:rFonts w:ascii="仿宋" w:hAnsi="仿宋" w:eastAsia="仿宋" w:cs="仿宋"/>
          <w:bCs/>
          <w:sz w:val="32"/>
          <w:szCs w:val="32"/>
        </w:rPr>
        <w:t>号）</w:t>
      </w:r>
      <w:r>
        <w:rPr>
          <w:rFonts w:hint="eastAsia" w:ascii="仿宋" w:hAnsi="仿宋" w:eastAsia="仿宋" w:cs="仿宋"/>
          <w:sz w:val="32"/>
          <w:szCs w:val="32"/>
        </w:rPr>
        <w:t>，结合我区实际，现就赋予乡镇（街道）对需要部门协同解决事项的综合管理和统筹协调权，制定如下实施办法。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分类厘清基层治理过程中涉及的条块管理权限，通过优化机制、规范流程，落实乡镇（街道）对需要区各部门协同解决事项的综合管理和统筹协调权，切实解决好基层治理工作中的突出问题和短板弱项，提升乡镇（街道）统筹协调和应急处置能力，构建分工合理、运行高效的联动协调工作机制，推动部门工作重心向基层下移，解决基层看得见却解决不了、部门能解决却看不见的问题，实现问题解决在基层、部门服务到基层，畅通服务群众“最后一公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本办法所指的乡镇（街道）综合管理和统筹协调权，是指乡镇（街道）在履行辖区内综合执法、应急处置、优化营商环境等管理服务职责时，涉及乡镇（街道）无法独立解决的复杂事项或重点、难点问题，包括但不限于《“乡呼区应”事项参考目录（试行）》所列事项，以及其他需多部门协同解决或突发性事件，可由乡镇（街道）实施统筹协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三、工作流程</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ascii="仿宋" w:hAnsi="仿宋" w:eastAsia="仿宋" w:cs="仿宋"/>
          <w:sz w:val="32"/>
          <w:szCs w:val="32"/>
        </w:rPr>
      </w:pPr>
      <w:r>
        <w:rPr>
          <w:rFonts w:hint="eastAsia" w:ascii="楷体" w:hAnsi="楷体" w:eastAsia="楷体" w:cs="楷体"/>
          <w:b/>
          <w:bCs/>
          <w:sz w:val="32"/>
          <w:szCs w:val="32"/>
        </w:rPr>
        <w:t>（一）乡街“呼叫”。</w:t>
      </w:r>
      <w:r>
        <w:rPr>
          <w:rFonts w:hint="eastAsia" w:ascii="仿宋" w:hAnsi="仿宋" w:eastAsia="仿宋" w:cs="仿宋"/>
          <w:sz w:val="32"/>
          <w:szCs w:val="32"/>
        </w:rPr>
        <w:t>乡镇（街道）无法独立解决的复杂事项或突发事件，</w:t>
      </w:r>
      <w:r>
        <w:rPr>
          <w:rFonts w:hint="eastAsia" w:ascii="仿宋" w:hAnsi="仿宋" w:eastAsia="仿宋" w:cs="仿宋"/>
          <w:sz w:val="32"/>
          <w:szCs w:val="32"/>
          <w:highlight w:val="none"/>
        </w:rPr>
        <w:t>由乡镇（街道）综合</w:t>
      </w:r>
      <w:r>
        <w:rPr>
          <w:rFonts w:hint="eastAsia" w:ascii="仿宋" w:hAnsi="仿宋" w:eastAsia="仿宋" w:cs="仿宋"/>
          <w:sz w:val="32"/>
          <w:szCs w:val="32"/>
          <w:highlight w:val="none"/>
          <w:lang w:val="en-US" w:eastAsia="zh-CN"/>
        </w:rPr>
        <w:t>执法</w:t>
      </w:r>
      <w:r>
        <w:rPr>
          <w:rFonts w:hint="eastAsia" w:ascii="仿宋" w:hAnsi="仿宋" w:eastAsia="仿宋" w:cs="仿宋"/>
          <w:sz w:val="32"/>
          <w:szCs w:val="32"/>
          <w:highlight w:val="none"/>
        </w:rPr>
        <w:t>办公室或综合执法</w:t>
      </w:r>
      <w:r>
        <w:rPr>
          <w:rFonts w:hint="eastAsia" w:ascii="仿宋" w:hAnsi="仿宋" w:eastAsia="仿宋" w:cs="仿宋"/>
          <w:sz w:val="32"/>
          <w:szCs w:val="32"/>
          <w:highlight w:val="none"/>
          <w:lang w:val="en-US" w:eastAsia="zh-CN"/>
        </w:rPr>
        <w:t>队</w:t>
      </w:r>
      <w:r>
        <w:rPr>
          <w:rFonts w:hint="eastAsia" w:ascii="仿宋" w:hAnsi="仿宋" w:eastAsia="仿宋" w:cs="仿宋"/>
          <w:sz w:val="32"/>
          <w:szCs w:val="32"/>
          <w:highlight w:val="none"/>
        </w:rPr>
        <w:t>启动“呼叫”程序，明</w:t>
      </w:r>
      <w:r>
        <w:rPr>
          <w:rFonts w:hint="eastAsia" w:ascii="仿宋" w:hAnsi="仿宋" w:eastAsia="仿宋" w:cs="仿宋"/>
          <w:sz w:val="32"/>
          <w:szCs w:val="32"/>
        </w:rPr>
        <w:t>确该事项的责任部门、预期解决目标和办理时限等具体要求。涉及多个部门的，可通过</w:t>
      </w:r>
      <w:r>
        <w:rPr>
          <w:rFonts w:hint="eastAsia" w:ascii="仿宋" w:hAnsi="仿宋" w:eastAsia="仿宋" w:cs="仿宋"/>
          <w:sz w:val="32"/>
          <w:szCs w:val="32"/>
          <w:lang w:val="en-US" w:eastAsia="zh-CN"/>
        </w:rPr>
        <w:t>公众号</w:t>
      </w:r>
      <w:r>
        <w:rPr>
          <w:rFonts w:hint="eastAsia" w:ascii="仿宋" w:hAnsi="仿宋" w:eastAsia="仿宋" w:cs="仿宋"/>
          <w:sz w:val="32"/>
          <w:szCs w:val="32"/>
          <w:highlight w:val="none"/>
        </w:rPr>
        <w:t>平台</w:t>
      </w:r>
      <w:r>
        <w:rPr>
          <w:rFonts w:hint="eastAsia" w:ascii="仿宋" w:hAnsi="仿宋" w:eastAsia="仿宋" w:cs="仿宋"/>
          <w:sz w:val="32"/>
          <w:szCs w:val="32"/>
        </w:rPr>
        <w:t>、电话、微信等方式分别呼叫，突发性事件或特别紧急的应采取各种方式同时“呼叫”，让相关部门第一时间作出反应。</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ascii="仿宋" w:hAnsi="仿宋" w:eastAsia="仿宋" w:cs="仿宋"/>
          <w:sz w:val="32"/>
          <w:szCs w:val="32"/>
        </w:rPr>
      </w:pPr>
      <w:r>
        <w:rPr>
          <w:rFonts w:hint="eastAsia" w:ascii="楷体" w:hAnsi="楷体" w:eastAsia="楷体" w:cs="楷体"/>
          <w:b/>
          <w:bCs/>
          <w:sz w:val="32"/>
          <w:szCs w:val="32"/>
        </w:rPr>
        <w:t>（二）部门“响应”。</w:t>
      </w:r>
      <w:r>
        <w:rPr>
          <w:rFonts w:hint="eastAsia" w:ascii="仿宋" w:hAnsi="仿宋" w:eastAsia="仿宋" w:cs="仿宋"/>
          <w:sz w:val="32"/>
          <w:szCs w:val="32"/>
        </w:rPr>
        <w:t>区各部门收到乡镇（街道）“呼叫”后，应根据所反映的主要事项及时组织力量进行处置，能独立处置的应立即解决，及时反馈处置结果；涉及需多部门协作配合的，可由乡镇（街道）召集相关部门明确和落实责任分工，共同研究解决；涉及市级事权的，区各部门要第一时间上报市级主管部门，并及时向乡镇（街道）反馈进展情况。未按时办结的，区各部门应向乡镇（街道）作出书面说明，经与乡镇（街道）协商同意后延长办理时限；如因涉及市级事权、历史遗留的疑难复杂问题等情形暂无法解决的，乡镇（街道）与区主责部门应及时报党委和政府研究处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ascii="仿宋" w:hAnsi="仿宋" w:eastAsia="仿宋" w:cs="仿宋"/>
          <w:sz w:val="32"/>
          <w:szCs w:val="32"/>
        </w:rPr>
      </w:pPr>
      <w:r>
        <w:rPr>
          <w:rFonts w:hint="eastAsia" w:ascii="楷体" w:hAnsi="楷体" w:eastAsia="楷体" w:cs="楷体"/>
          <w:b/>
          <w:bCs/>
          <w:sz w:val="32"/>
          <w:szCs w:val="32"/>
        </w:rPr>
        <w:t>（三）跟踪问效。</w:t>
      </w:r>
      <w:r>
        <w:rPr>
          <w:rFonts w:hint="eastAsia" w:ascii="仿宋" w:hAnsi="仿宋" w:eastAsia="仿宋" w:cs="仿宋"/>
          <w:sz w:val="32"/>
          <w:szCs w:val="32"/>
        </w:rPr>
        <w:t>乡镇（街道）应加强对部门响应情况的全程跟进，建立完善事项处置工作台账，逐一对部门响应及处 置情况作出评价，每季度收集汇总后统一报送组织、营商部门，同时抄送纪检监察机关和机构编制部门，作为党委和政府对部门年度考核和基层评价部门的重要依据，作为考核评价部门主要负责人履行主体责任的重要参考。</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sz w:val="32"/>
          <w:szCs w:val="32"/>
        </w:rPr>
      </w:pPr>
      <w:r>
        <w:rPr>
          <w:rFonts w:hint="eastAsia" w:ascii="黑体" w:hAnsi="黑体" w:eastAsia="黑体" w:cs="黑体"/>
          <w:sz w:val="32"/>
          <w:szCs w:val="32"/>
        </w:rPr>
        <w:t>四、保障措施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 w:hAnsi="仿宋" w:eastAsia="仿宋" w:cs="仿宋"/>
          <w:sz w:val="32"/>
          <w:szCs w:val="32"/>
        </w:rPr>
      </w:pPr>
      <w:r>
        <w:rPr>
          <w:rFonts w:hint="eastAsia" w:ascii="仿宋" w:hAnsi="仿宋" w:eastAsia="仿宋" w:cs="仿宋"/>
          <w:sz w:val="32"/>
          <w:szCs w:val="32"/>
        </w:rPr>
        <w:t>区营商局要发挥好牵头抓总的职能作用，建立健全联动协作的工作机制，会同机构编制部门、司法行政部门进一步完善“乡呼区应”的具体事项，与区乡两级权责清单、乡镇（街道）职责任务清单相互衔接，充分保障乡镇（街道）行使综合管理和统筹协调权。“两办”、组织部等部门要落实督查督办和考核评价机制，对于乡镇（街道）“不呼叫”、“乱呼叫”，区各部门“不响应”、“迟响应”或“响应”后“不作为”等问题，要坚决予以纠正和通报批评，造成恶劣影响和严重后果的由纪检监察机关依法依规依纪严肃问责和处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 w:hAnsi="仿宋" w:eastAsia="仿宋" w:cs="仿宋"/>
          <w:sz w:val="32"/>
          <w:szCs w:val="32"/>
        </w:rPr>
      </w:pPr>
      <w:r>
        <w:rPr>
          <w:rFonts w:hint="eastAsia" w:ascii="仿宋" w:hAnsi="仿宋" w:eastAsia="仿宋" w:cs="仿宋"/>
          <w:sz w:val="32"/>
          <w:szCs w:val="32"/>
        </w:rPr>
        <w:t>附件：“乡呼区应”事项参考目录</w:t>
      </w:r>
    </w:p>
    <w:sectPr>
      <w:footerReference r:id="rId3" w:type="default"/>
      <w:pgSz w:w="11906" w:h="16838"/>
      <w:pgMar w:top="1440" w:right="1701" w:bottom="1440"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wNDk2M2YyNzFjYTg5YTc5YWViMzJhZTA3NGIyNGYifQ=="/>
  </w:docVars>
  <w:rsids>
    <w:rsidRoot w:val="6FED005F"/>
    <w:rsid w:val="002F10A2"/>
    <w:rsid w:val="00316337"/>
    <w:rsid w:val="0AE93788"/>
    <w:rsid w:val="0E84449C"/>
    <w:rsid w:val="103064C4"/>
    <w:rsid w:val="12092CE9"/>
    <w:rsid w:val="17581F0B"/>
    <w:rsid w:val="1F0B7734"/>
    <w:rsid w:val="28490EC9"/>
    <w:rsid w:val="2C061B1F"/>
    <w:rsid w:val="2CE30C6B"/>
    <w:rsid w:val="2FC67090"/>
    <w:rsid w:val="36FF7A3A"/>
    <w:rsid w:val="45B37BE3"/>
    <w:rsid w:val="4F3F7FC3"/>
    <w:rsid w:val="512A3322"/>
    <w:rsid w:val="532F71B7"/>
    <w:rsid w:val="54237A97"/>
    <w:rsid w:val="566D4FAA"/>
    <w:rsid w:val="56CE972E"/>
    <w:rsid w:val="591662DC"/>
    <w:rsid w:val="5DED6AD9"/>
    <w:rsid w:val="6BA72F5D"/>
    <w:rsid w:val="6FD62199"/>
    <w:rsid w:val="6FED005F"/>
    <w:rsid w:val="6FFB75E9"/>
    <w:rsid w:val="70F35B56"/>
    <w:rsid w:val="77EF596F"/>
    <w:rsid w:val="78116041"/>
    <w:rsid w:val="7A2B2D92"/>
    <w:rsid w:val="7B166DFA"/>
    <w:rsid w:val="7EB928E3"/>
    <w:rsid w:val="7F7B7E17"/>
    <w:rsid w:val="7F7F4DF5"/>
    <w:rsid w:val="BF5C5528"/>
    <w:rsid w:val="BF8B71C5"/>
    <w:rsid w:val="DFE5DDE8"/>
    <w:rsid w:val="EBB7214C"/>
    <w:rsid w:val="F2D7B525"/>
    <w:rsid w:val="F77783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1468</Words>
  <Characters>1475</Characters>
  <Lines>10</Lines>
  <Paragraphs>2</Paragraphs>
  <TotalTime>29</TotalTime>
  <ScaleCrop>false</ScaleCrop>
  <LinksUpToDate>false</LinksUpToDate>
  <CharactersWithSpaces>1476</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2022-05-23T01:12:00Z</dcterms:created>
  <dc:creator>greatwall</dc:creator>
  <cp:lastModifiedBy>greatwall</cp:lastModifiedBy>
  <cp:lastPrinted>2022-12-14T21:42:00Z</cp:lastPrinted>
  <dcterms:modified xsi:type="dcterms:W3CDTF">2022-12-16T14:08:33Z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324A1105296F4BF1A28C591F2BB25123</vt:lpwstr>
  </property>
</Properties>
</file>